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F457E6" w:rsidRDefault="00F457E6" w:rsidP="00E6179D">
      <w:pPr>
        <w:spacing w:after="0" w:line="360" w:lineRule="auto"/>
        <w:jc w:val="both"/>
        <w:rPr>
          <w:rFonts w:ascii="Palatino Linotype" w:eastAsia="Calibri" w:hAnsi="Palatino Linotype" w:cs="Arial"/>
          <w:b/>
          <w:bCs/>
          <w:sz w:val="24"/>
          <w:szCs w:val="24"/>
          <w:lang w:eastAsia="es-MX"/>
        </w:rPr>
      </w:pPr>
      <w:r w:rsidRPr="00F457E6">
        <w:rPr>
          <w:rFonts w:ascii="Palatino Linotype" w:hAnsi="Palatino Linotype"/>
          <w:b/>
          <w:sz w:val="24"/>
          <w:szCs w:val="24"/>
        </w:rPr>
        <w:t>VOTO PARTICULAR CONCURRENTE QUE FORMULAN LOS COMISIONADOS JAVIER MARTÍNEZ CRUZ, LUIS GUSTAVO PARRA NORIEGA Y JOSÉ GUADALUPE LUNA HERNÁNDEZ</w:t>
      </w:r>
      <w:r w:rsidRPr="00F457E6">
        <w:rPr>
          <w:rFonts w:ascii="Palatino Linotype" w:eastAsia="Calibri" w:hAnsi="Palatino Linotype" w:cs="Arial"/>
          <w:b/>
          <w:sz w:val="24"/>
          <w:szCs w:val="24"/>
        </w:rPr>
        <w:t xml:space="preserve"> EN LOS RECURSO</w:t>
      </w:r>
      <w:r w:rsidR="000A51DA">
        <w:rPr>
          <w:rFonts w:ascii="Palatino Linotype" w:eastAsia="Calibri" w:hAnsi="Palatino Linotype" w:cs="Arial"/>
          <w:b/>
          <w:sz w:val="24"/>
          <w:szCs w:val="24"/>
        </w:rPr>
        <w:t>S</w:t>
      </w:r>
      <w:r w:rsidRPr="00F457E6">
        <w:rPr>
          <w:rFonts w:ascii="Palatino Linotype" w:eastAsia="Calibri" w:hAnsi="Palatino Linotype" w:cs="Arial"/>
          <w:b/>
          <w:sz w:val="24"/>
          <w:szCs w:val="24"/>
        </w:rPr>
        <w:t xml:space="preserve"> DE REVISIÓN </w:t>
      </w:r>
      <w:r w:rsidR="00ED2936" w:rsidRPr="00ED2936">
        <w:rPr>
          <w:rFonts w:ascii="Palatino Linotype" w:hAnsi="Palatino Linotype" w:cs="Arial"/>
          <w:b/>
          <w:sz w:val="24"/>
          <w:szCs w:val="24"/>
        </w:rPr>
        <w:t>04195/INFOEM/IP/RR/2018, 04196/INFOEM/IP/RR/2018, 04197/INFOEM/IP/RR/2018, 04198/INFOEM/IP/RR/2018, 04199/INFOEM/IP/RR/2018, 04200/INFOEM/IP/RR/2018, 04201/INFOEM/IP/RR/2018, 04202/INFOEM/IP/RR/2018,  04203/INFOEM/IP/RR/2018, 04204/INFOEM/IP/RR/2018 y 04205/INFOEM/IP/RR/2018</w:t>
      </w:r>
      <w:r w:rsidR="00ED2936">
        <w:rPr>
          <w:rFonts w:ascii="Palatino Linotype" w:hAnsi="Palatino Linotype" w:cs="Arial"/>
          <w:b/>
          <w:sz w:val="24"/>
          <w:szCs w:val="24"/>
        </w:rPr>
        <w:t xml:space="preserve"> ACUMULADOS</w:t>
      </w:r>
      <w:r w:rsidRPr="00F457E6">
        <w:rPr>
          <w:rFonts w:ascii="Palatino Linotype" w:hAnsi="Palatino Linotype"/>
          <w:b/>
          <w:sz w:val="24"/>
          <w:szCs w:val="24"/>
        </w:rPr>
        <w:t>.</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9D3396"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w:t>
      </w:r>
      <w:r w:rsidR="009D3396">
        <w:rPr>
          <w:rFonts w:ascii="Palatino Linotype" w:eastAsia="Calibri" w:hAnsi="Palatino Linotype" w:cs="Arial"/>
          <w:sz w:val="24"/>
          <w:szCs w:val="24"/>
        </w:rPr>
        <w:t xml:space="preserve">Para satisfacer plenamente el derecho de acceso a la información pública, el Instituto de Transparencia, Acceso a la Información Pública y Protección de Datos Personales del Estado de México y Municipios debe velar por que los Sujetos Obligados respeten y se rijan por los principios de simplicidad, rapidez, </w:t>
      </w:r>
      <w:r w:rsidR="009D3396">
        <w:rPr>
          <w:rFonts w:ascii="Palatino Linotype" w:eastAsia="Calibri" w:hAnsi="Palatino Linotype" w:cs="Arial"/>
          <w:b/>
          <w:i/>
          <w:sz w:val="24"/>
          <w:szCs w:val="24"/>
        </w:rPr>
        <w:t>gratuidad</w:t>
      </w:r>
      <w:r w:rsidR="009D3396">
        <w:rPr>
          <w:rFonts w:ascii="Palatino Linotype" w:eastAsia="Calibri" w:hAnsi="Palatino Linotype" w:cs="Arial"/>
          <w:sz w:val="24"/>
          <w:szCs w:val="24"/>
        </w:rPr>
        <w:t>, así como auxilio y orientación a los particulares con el propósito de otorgar la protección más amplia del derecho humano de las personas.</w:t>
      </w:r>
    </w:p>
    <w:p w:rsidR="00E6179D" w:rsidRDefault="00E6179D" w:rsidP="00E6179D">
      <w:pPr>
        <w:spacing w:after="0" w:line="360" w:lineRule="auto"/>
        <w:jc w:val="both"/>
        <w:rPr>
          <w:rFonts w:ascii="Palatino Linotype" w:eastAsia="Calibri" w:hAnsi="Palatino Linotype" w:cs="Arial"/>
          <w:sz w:val="24"/>
          <w:szCs w:val="24"/>
        </w:rPr>
      </w:pPr>
    </w:p>
    <w:p w:rsidR="00205008" w:rsidRDefault="00DC3467" w:rsidP="00E6179D">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B3B048C" wp14:editId="022A6879">
                <wp:simplePos x="0" y="0"/>
                <wp:positionH relativeFrom="margin">
                  <wp:posOffset>81915</wp:posOffset>
                </wp:positionH>
                <wp:positionV relativeFrom="paragraph">
                  <wp:posOffset>73660</wp:posOffset>
                </wp:positionV>
                <wp:extent cx="5607050" cy="1193165"/>
                <wp:effectExtent l="0" t="0" r="31750" b="26035"/>
                <wp:wrapNone/>
                <wp:docPr id="1" name="Conector recto 1"/>
                <wp:cNvGraphicFramePr/>
                <a:graphic xmlns:a="http://schemas.openxmlformats.org/drawingml/2006/main">
                  <a:graphicData uri="http://schemas.microsoft.com/office/word/2010/wordprocessingShape">
                    <wps:wsp>
                      <wps:cNvCnPr/>
                      <wps:spPr>
                        <a:xfrm flipV="1">
                          <a:off x="0" y="0"/>
                          <a:ext cx="5607050" cy="119316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D6163"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5pt,5.8pt" to="447.95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" strokecolor="black [3200]" strokeweight="1.5pt">
                <v:stroke joinstyle="miter"/>
                <w10:wrap anchorx="margin"/>
              </v:line>
            </w:pict>
          </mc:Fallback>
        </mc:AlternateContent>
      </w:r>
    </w:p>
    <w:p w:rsidR="00205008" w:rsidRDefault="00205008" w:rsidP="00E6179D">
      <w:pPr>
        <w:spacing w:after="0" w:line="360" w:lineRule="auto"/>
        <w:jc w:val="both"/>
        <w:rPr>
          <w:rFonts w:ascii="Palatino Linotype" w:eastAsia="Calibri" w:hAnsi="Palatino Linotype" w:cs="Arial"/>
          <w:sz w:val="24"/>
          <w:szCs w:val="24"/>
        </w:rPr>
      </w:pPr>
    </w:p>
    <w:p w:rsidR="008A11E3" w:rsidRDefault="008A11E3"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E6179D" w:rsidRPr="00061791" w:rsidRDefault="00E6179D" w:rsidP="00061791">
      <w:pPr>
        <w:pStyle w:val="TtulodeTDC"/>
        <w:spacing w:line="480" w:lineRule="auto"/>
        <w:rPr>
          <w:rFonts w:cs="Arial"/>
          <w:b w:val="0"/>
          <w:color w:val="auto"/>
          <w:szCs w:val="24"/>
        </w:rPr>
      </w:pPr>
      <w:r w:rsidRPr="00835C8D">
        <w:rPr>
          <w:rFonts w:cs="Arial"/>
          <w:color w:val="auto"/>
          <w:szCs w:val="24"/>
        </w:rPr>
        <w:lastRenderedPageBreak/>
        <w:t>Índ</w:t>
      </w:r>
      <w:r w:rsidRPr="00061791">
        <w:rPr>
          <w:rFonts w:cs="Arial"/>
          <w:color w:val="auto"/>
          <w:szCs w:val="24"/>
        </w:rPr>
        <w:t>ice</w:t>
      </w:r>
      <w:r w:rsidR="00B73B30" w:rsidRPr="00061791">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061791" w:rsidRPr="00061791" w:rsidRDefault="00E6179D" w:rsidP="00061791">
          <w:pPr>
            <w:pStyle w:val="TDC1"/>
            <w:spacing w:line="480" w:lineRule="auto"/>
            <w:rPr>
              <w:rFonts w:eastAsiaTheme="minorEastAsia"/>
              <w:b w:val="0"/>
              <w:sz w:val="24"/>
              <w:szCs w:val="24"/>
              <w:lang w:eastAsia="es-MX"/>
            </w:rPr>
          </w:pPr>
          <w:r w:rsidRPr="00061791">
            <w:rPr>
              <w:rFonts w:cs="Arial"/>
              <w:b w:val="0"/>
              <w:sz w:val="24"/>
              <w:szCs w:val="24"/>
            </w:rPr>
            <w:fldChar w:fldCharType="begin"/>
          </w:r>
          <w:r w:rsidRPr="00061791">
            <w:rPr>
              <w:rFonts w:cs="Arial"/>
              <w:sz w:val="24"/>
              <w:szCs w:val="24"/>
            </w:rPr>
            <w:instrText xml:space="preserve"> TOC \o "1-3" \h \z \u </w:instrText>
          </w:r>
          <w:r w:rsidRPr="00061791">
            <w:rPr>
              <w:rFonts w:cs="Arial"/>
              <w:b w:val="0"/>
              <w:sz w:val="24"/>
              <w:szCs w:val="24"/>
            </w:rPr>
            <w:fldChar w:fldCharType="separate"/>
          </w:r>
          <w:hyperlink w:anchor="_Toc535844190" w:history="1">
            <w:r w:rsidR="00061791" w:rsidRPr="00061791">
              <w:rPr>
                <w:rStyle w:val="Hipervnculo"/>
                <w:rFonts w:eastAsia="Times New Roman"/>
                <w:sz w:val="24"/>
                <w:szCs w:val="24"/>
              </w:rPr>
              <w:t>I.</w:t>
            </w:r>
            <w:r w:rsidR="00061791" w:rsidRPr="00061791">
              <w:rPr>
                <w:rFonts w:eastAsiaTheme="minorEastAsia"/>
                <w:b w:val="0"/>
                <w:sz w:val="24"/>
                <w:szCs w:val="24"/>
                <w:lang w:eastAsia="es-MX"/>
              </w:rPr>
              <w:tab/>
            </w:r>
            <w:r w:rsidR="00061791" w:rsidRPr="00061791">
              <w:rPr>
                <w:rStyle w:val="Hipervnculo"/>
                <w:rFonts w:eastAsia="Times New Roman"/>
                <w:sz w:val="24"/>
                <w:szCs w:val="24"/>
              </w:rPr>
              <w:t>Consideraciones Generales</w:t>
            </w:r>
            <w:r w:rsidR="00061791" w:rsidRPr="00061791">
              <w:rPr>
                <w:webHidden/>
                <w:sz w:val="24"/>
                <w:szCs w:val="24"/>
              </w:rPr>
              <w:tab/>
            </w:r>
            <w:r w:rsidR="00061791" w:rsidRPr="00061791">
              <w:rPr>
                <w:webHidden/>
                <w:sz w:val="24"/>
                <w:szCs w:val="24"/>
              </w:rPr>
              <w:fldChar w:fldCharType="begin"/>
            </w:r>
            <w:r w:rsidR="00061791" w:rsidRPr="00061791">
              <w:rPr>
                <w:webHidden/>
                <w:sz w:val="24"/>
                <w:szCs w:val="24"/>
              </w:rPr>
              <w:instrText xml:space="preserve"> PAGEREF _Toc535844190 \h </w:instrText>
            </w:r>
            <w:r w:rsidR="00061791" w:rsidRPr="00061791">
              <w:rPr>
                <w:webHidden/>
                <w:sz w:val="24"/>
                <w:szCs w:val="24"/>
              </w:rPr>
            </w:r>
            <w:r w:rsidR="00061791" w:rsidRPr="00061791">
              <w:rPr>
                <w:webHidden/>
                <w:sz w:val="24"/>
                <w:szCs w:val="24"/>
              </w:rPr>
              <w:fldChar w:fldCharType="separate"/>
            </w:r>
            <w:r w:rsidR="0089666B">
              <w:rPr>
                <w:webHidden/>
                <w:sz w:val="24"/>
                <w:szCs w:val="24"/>
              </w:rPr>
              <w:t>3</w:t>
            </w:r>
            <w:r w:rsidR="00061791" w:rsidRPr="00061791">
              <w:rPr>
                <w:webHidden/>
                <w:sz w:val="24"/>
                <w:szCs w:val="24"/>
              </w:rPr>
              <w:fldChar w:fldCharType="end"/>
            </w:r>
          </w:hyperlink>
        </w:p>
        <w:p w:rsidR="00061791" w:rsidRPr="00061791" w:rsidRDefault="0078399D" w:rsidP="00061791">
          <w:pPr>
            <w:pStyle w:val="TDC1"/>
            <w:spacing w:line="480" w:lineRule="auto"/>
            <w:rPr>
              <w:rFonts w:eastAsiaTheme="minorEastAsia"/>
              <w:b w:val="0"/>
              <w:sz w:val="24"/>
              <w:szCs w:val="24"/>
              <w:lang w:eastAsia="es-MX"/>
            </w:rPr>
          </w:pPr>
          <w:hyperlink w:anchor="_Toc535844191" w:history="1">
            <w:r w:rsidR="00061791" w:rsidRPr="00061791">
              <w:rPr>
                <w:rStyle w:val="Hipervnculo"/>
                <w:rFonts w:eastAsia="Calibri"/>
                <w:sz w:val="24"/>
                <w:szCs w:val="24"/>
                <w:lang w:val="es-ES"/>
              </w:rPr>
              <w:t>II.</w:t>
            </w:r>
            <w:r w:rsidR="00061791" w:rsidRPr="00061791">
              <w:rPr>
                <w:rFonts w:eastAsiaTheme="minorEastAsia"/>
                <w:b w:val="0"/>
                <w:sz w:val="24"/>
                <w:szCs w:val="24"/>
                <w:lang w:eastAsia="es-MX"/>
              </w:rPr>
              <w:tab/>
            </w:r>
            <w:r w:rsidR="00061791" w:rsidRPr="00061791">
              <w:rPr>
                <w:rStyle w:val="Hipervnculo"/>
                <w:rFonts w:eastAsia="Calibri"/>
                <w:sz w:val="24"/>
                <w:szCs w:val="24"/>
                <w:lang w:val="es-ES"/>
              </w:rPr>
              <w:t>De los requerimientos planteados en el recurso de revisión.</w:t>
            </w:r>
            <w:r w:rsidR="00061791" w:rsidRPr="00061791">
              <w:rPr>
                <w:webHidden/>
                <w:sz w:val="24"/>
                <w:szCs w:val="24"/>
              </w:rPr>
              <w:tab/>
            </w:r>
            <w:r w:rsidR="00061791" w:rsidRPr="00061791">
              <w:rPr>
                <w:webHidden/>
                <w:sz w:val="24"/>
                <w:szCs w:val="24"/>
              </w:rPr>
              <w:fldChar w:fldCharType="begin"/>
            </w:r>
            <w:r w:rsidR="00061791" w:rsidRPr="00061791">
              <w:rPr>
                <w:webHidden/>
                <w:sz w:val="24"/>
                <w:szCs w:val="24"/>
              </w:rPr>
              <w:instrText xml:space="preserve"> PAGEREF _Toc535844191 \h </w:instrText>
            </w:r>
            <w:r w:rsidR="00061791" w:rsidRPr="00061791">
              <w:rPr>
                <w:webHidden/>
                <w:sz w:val="24"/>
                <w:szCs w:val="24"/>
              </w:rPr>
            </w:r>
            <w:r w:rsidR="00061791" w:rsidRPr="00061791">
              <w:rPr>
                <w:webHidden/>
                <w:sz w:val="24"/>
                <w:szCs w:val="24"/>
              </w:rPr>
              <w:fldChar w:fldCharType="separate"/>
            </w:r>
            <w:r w:rsidR="0089666B">
              <w:rPr>
                <w:webHidden/>
                <w:sz w:val="24"/>
                <w:szCs w:val="24"/>
              </w:rPr>
              <w:t>4</w:t>
            </w:r>
            <w:r w:rsidR="00061791" w:rsidRPr="00061791">
              <w:rPr>
                <w:webHidden/>
                <w:sz w:val="24"/>
                <w:szCs w:val="24"/>
              </w:rPr>
              <w:fldChar w:fldCharType="end"/>
            </w:r>
          </w:hyperlink>
        </w:p>
        <w:p w:rsidR="00061791" w:rsidRPr="00061791" w:rsidRDefault="0078399D" w:rsidP="00061791">
          <w:pPr>
            <w:pStyle w:val="TDC2"/>
            <w:spacing w:line="480" w:lineRule="auto"/>
            <w:rPr>
              <w:rFonts w:ascii="Palatino Linotype" w:eastAsiaTheme="minorEastAsia" w:hAnsi="Palatino Linotype"/>
              <w:noProof/>
              <w:sz w:val="24"/>
              <w:szCs w:val="24"/>
              <w:lang w:eastAsia="es-MX"/>
            </w:rPr>
          </w:pPr>
          <w:hyperlink w:anchor="_Toc535844192" w:history="1">
            <w:r w:rsidR="00061791" w:rsidRPr="00061791">
              <w:rPr>
                <w:rStyle w:val="Hipervnculo"/>
                <w:rFonts w:ascii="Palatino Linotype" w:hAnsi="Palatino Linotype"/>
                <w:b/>
                <w:noProof/>
                <w:sz w:val="24"/>
                <w:szCs w:val="24"/>
              </w:rPr>
              <w:t>III. Del Derecho de Acceso a la información pública y el deber de motivar.</w:t>
            </w:r>
            <w:r w:rsidR="00061791" w:rsidRPr="00061791">
              <w:rPr>
                <w:rFonts w:ascii="Palatino Linotype" w:hAnsi="Palatino Linotype"/>
                <w:noProof/>
                <w:webHidden/>
                <w:sz w:val="24"/>
                <w:szCs w:val="24"/>
              </w:rPr>
              <w:tab/>
            </w:r>
            <w:r w:rsidR="00061791" w:rsidRPr="00061791">
              <w:rPr>
                <w:rFonts w:ascii="Palatino Linotype" w:hAnsi="Palatino Linotype"/>
                <w:noProof/>
                <w:webHidden/>
                <w:sz w:val="24"/>
                <w:szCs w:val="24"/>
              </w:rPr>
              <w:fldChar w:fldCharType="begin"/>
            </w:r>
            <w:r w:rsidR="00061791" w:rsidRPr="00061791">
              <w:rPr>
                <w:rFonts w:ascii="Palatino Linotype" w:hAnsi="Palatino Linotype"/>
                <w:noProof/>
                <w:webHidden/>
                <w:sz w:val="24"/>
                <w:szCs w:val="24"/>
              </w:rPr>
              <w:instrText xml:space="preserve"> PAGEREF _Toc535844192 \h </w:instrText>
            </w:r>
            <w:r w:rsidR="00061791" w:rsidRPr="00061791">
              <w:rPr>
                <w:rFonts w:ascii="Palatino Linotype" w:hAnsi="Palatino Linotype"/>
                <w:noProof/>
                <w:webHidden/>
                <w:sz w:val="24"/>
                <w:szCs w:val="24"/>
              </w:rPr>
            </w:r>
            <w:r w:rsidR="00061791" w:rsidRPr="00061791">
              <w:rPr>
                <w:rFonts w:ascii="Palatino Linotype" w:hAnsi="Palatino Linotype"/>
                <w:noProof/>
                <w:webHidden/>
                <w:sz w:val="24"/>
                <w:szCs w:val="24"/>
              </w:rPr>
              <w:fldChar w:fldCharType="separate"/>
            </w:r>
            <w:r w:rsidR="0089666B">
              <w:rPr>
                <w:rFonts w:ascii="Palatino Linotype" w:hAnsi="Palatino Linotype"/>
                <w:noProof/>
                <w:webHidden/>
                <w:sz w:val="24"/>
                <w:szCs w:val="24"/>
              </w:rPr>
              <w:t>7</w:t>
            </w:r>
            <w:r w:rsidR="00061791" w:rsidRPr="00061791">
              <w:rPr>
                <w:rFonts w:ascii="Palatino Linotype" w:hAnsi="Palatino Linotype"/>
                <w:noProof/>
                <w:webHidden/>
                <w:sz w:val="24"/>
                <w:szCs w:val="24"/>
              </w:rPr>
              <w:fldChar w:fldCharType="end"/>
            </w:r>
          </w:hyperlink>
        </w:p>
        <w:p w:rsidR="00061791" w:rsidRPr="00061791" w:rsidRDefault="0078399D" w:rsidP="00061791">
          <w:pPr>
            <w:pStyle w:val="TDC1"/>
            <w:spacing w:line="480" w:lineRule="auto"/>
            <w:rPr>
              <w:rFonts w:eastAsiaTheme="minorEastAsia"/>
              <w:b w:val="0"/>
              <w:sz w:val="24"/>
              <w:szCs w:val="24"/>
              <w:lang w:eastAsia="es-MX"/>
            </w:rPr>
          </w:pPr>
          <w:hyperlink w:anchor="_Toc535844193" w:history="1">
            <w:r w:rsidR="00061791" w:rsidRPr="00061791">
              <w:rPr>
                <w:rStyle w:val="Hipervnculo"/>
                <w:rFonts w:eastAsia="Calibri"/>
                <w:sz w:val="24"/>
                <w:szCs w:val="24"/>
              </w:rPr>
              <w:t>IV. Del Principio de Gratuidad</w:t>
            </w:r>
            <w:r w:rsidR="00061791" w:rsidRPr="00061791">
              <w:rPr>
                <w:webHidden/>
                <w:sz w:val="24"/>
                <w:szCs w:val="24"/>
              </w:rPr>
              <w:tab/>
            </w:r>
            <w:r w:rsidR="00061791" w:rsidRPr="00061791">
              <w:rPr>
                <w:webHidden/>
                <w:sz w:val="24"/>
                <w:szCs w:val="24"/>
              </w:rPr>
              <w:fldChar w:fldCharType="begin"/>
            </w:r>
            <w:r w:rsidR="00061791" w:rsidRPr="00061791">
              <w:rPr>
                <w:webHidden/>
                <w:sz w:val="24"/>
                <w:szCs w:val="24"/>
              </w:rPr>
              <w:instrText xml:space="preserve"> PAGEREF _Toc535844193 \h </w:instrText>
            </w:r>
            <w:r w:rsidR="00061791" w:rsidRPr="00061791">
              <w:rPr>
                <w:webHidden/>
                <w:sz w:val="24"/>
                <w:szCs w:val="24"/>
              </w:rPr>
            </w:r>
            <w:r w:rsidR="00061791" w:rsidRPr="00061791">
              <w:rPr>
                <w:webHidden/>
                <w:sz w:val="24"/>
                <w:szCs w:val="24"/>
              </w:rPr>
              <w:fldChar w:fldCharType="separate"/>
            </w:r>
            <w:r w:rsidR="0089666B">
              <w:rPr>
                <w:webHidden/>
                <w:sz w:val="24"/>
                <w:szCs w:val="24"/>
              </w:rPr>
              <w:t>13</w:t>
            </w:r>
            <w:r w:rsidR="00061791" w:rsidRPr="00061791">
              <w:rPr>
                <w:webHidden/>
                <w:sz w:val="24"/>
                <w:szCs w:val="24"/>
              </w:rPr>
              <w:fldChar w:fldCharType="end"/>
            </w:r>
          </w:hyperlink>
        </w:p>
        <w:p w:rsidR="00061791" w:rsidRPr="00061791" w:rsidRDefault="0078399D" w:rsidP="00061791">
          <w:pPr>
            <w:pStyle w:val="TDC1"/>
            <w:spacing w:line="480" w:lineRule="auto"/>
            <w:rPr>
              <w:rFonts w:eastAsiaTheme="minorEastAsia"/>
              <w:b w:val="0"/>
              <w:sz w:val="24"/>
              <w:szCs w:val="24"/>
              <w:lang w:eastAsia="es-MX"/>
            </w:rPr>
          </w:pPr>
          <w:hyperlink w:anchor="_Toc535844194" w:history="1">
            <w:r w:rsidR="00061791" w:rsidRPr="00061791">
              <w:rPr>
                <w:rStyle w:val="Hipervnculo"/>
                <w:rFonts w:cs="Arial"/>
                <w:bCs/>
                <w:sz w:val="24"/>
                <w:szCs w:val="24"/>
              </w:rPr>
              <w:t xml:space="preserve">V. Del principio </w:t>
            </w:r>
            <w:r w:rsidR="00061791" w:rsidRPr="00061791">
              <w:rPr>
                <w:rStyle w:val="Hipervnculo"/>
                <w:rFonts w:cs="Arial"/>
                <w:bCs/>
                <w:i/>
                <w:sz w:val="24"/>
                <w:szCs w:val="24"/>
              </w:rPr>
              <w:t>pro persona.</w:t>
            </w:r>
            <w:r w:rsidR="00061791" w:rsidRPr="00061791">
              <w:rPr>
                <w:webHidden/>
                <w:sz w:val="24"/>
                <w:szCs w:val="24"/>
              </w:rPr>
              <w:tab/>
            </w:r>
            <w:r w:rsidR="00061791" w:rsidRPr="00061791">
              <w:rPr>
                <w:webHidden/>
                <w:sz w:val="24"/>
                <w:szCs w:val="24"/>
              </w:rPr>
              <w:fldChar w:fldCharType="begin"/>
            </w:r>
            <w:r w:rsidR="00061791" w:rsidRPr="00061791">
              <w:rPr>
                <w:webHidden/>
                <w:sz w:val="24"/>
                <w:szCs w:val="24"/>
              </w:rPr>
              <w:instrText xml:space="preserve"> PAGEREF _Toc535844194 \h </w:instrText>
            </w:r>
            <w:r w:rsidR="00061791" w:rsidRPr="00061791">
              <w:rPr>
                <w:webHidden/>
                <w:sz w:val="24"/>
                <w:szCs w:val="24"/>
              </w:rPr>
            </w:r>
            <w:r w:rsidR="00061791" w:rsidRPr="00061791">
              <w:rPr>
                <w:webHidden/>
                <w:sz w:val="24"/>
                <w:szCs w:val="24"/>
              </w:rPr>
              <w:fldChar w:fldCharType="separate"/>
            </w:r>
            <w:r w:rsidR="0089666B">
              <w:rPr>
                <w:webHidden/>
                <w:sz w:val="24"/>
                <w:szCs w:val="24"/>
              </w:rPr>
              <w:t>18</w:t>
            </w:r>
            <w:r w:rsidR="00061791" w:rsidRPr="00061791">
              <w:rPr>
                <w:webHidden/>
                <w:sz w:val="24"/>
                <w:szCs w:val="24"/>
              </w:rPr>
              <w:fldChar w:fldCharType="end"/>
            </w:r>
          </w:hyperlink>
        </w:p>
        <w:p w:rsidR="00061791" w:rsidRPr="00061791" w:rsidRDefault="0078399D" w:rsidP="00061791">
          <w:pPr>
            <w:pStyle w:val="TDC1"/>
            <w:spacing w:line="480" w:lineRule="auto"/>
            <w:rPr>
              <w:rFonts w:eastAsiaTheme="minorEastAsia"/>
              <w:b w:val="0"/>
              <w:sz w:val="24"/>
              <w:szCs w:val="24"/>
              <w:lang w:eastAsia="es-MX"/>
            </w:rPr>
          </w:pPr>
          <w:hyperlink w:anchor="_Toc535844195" w:history="1">
            <w:r w:rsidR="00061791" w:rsidRPr="00061791">
              <w:rPr>
                <w:rStyle w:val="Hipervnculo"/>
                <w:rFonts w:eastAsia="Calibri"/>
                <w:sz w:val="24"/>
                <w:szCs w:val="24"/>
              </w:rPr>
              <w:t>VI. Conclusión.</w:t>
            </w:r>
            <w:r w:rsidR="00061791" w:rsidRPr="00061791">
              <w:rPr>
                <w:webHidden/>
                <w:sz w:val="24"/>
                <w:szCs w:val="24"/>
              </w:rPr>
              <w:tab/>
            </w:r>
            <w:r w:rsidR="00061791" w:rsidRPr="00061791">
              <w:rPr>
                <w:webHidden/>
                <w:sz w:val="24"/>
                <w:szCs w:val="24"/>
              </w:rPr>
              <w:fldChar w:fldCharType="begin"/>
            </w:r>
            <w:r w:rsidR="00061791" w:rsidRPr="00061791">
              <w:rPr>
                <w:webHidden/>
                <w:sz w:val="24"/>
                <w:szCs w:val="24"/>
              </w:rPr>
              <w:instrText xml:space="preserve"> PAGEREF _Toc535844195 \h </w:instrText>
            </w:r>
            <w:r w:rsidR="00061791" w:rsidRPr="00061791">
              <w:rPr>
                <w:webHidden/>
                <w:sz w:val="24"/>
                <w:szCs w:val="24"/>
              </w:rPr>
            </w:r>
            <w:r w:rsidR="00061791" w:rsidRPr="00061791">
              <w:rPr>
                <w:webHidden/>
                <w:sz w:val="24"/>
                <w:szCs w:val="24"/>
              </w:rPr>
              <w:fldChar w:fldCharType="separate"/>
            </w:r>
            <w:r w:rsidR="0089666B">
              <w:rPr>
                <w:webHidden/>
                <w:sz w:val="24"/>
                <w:szCs w:val="24"/>
              </w:rPr>
              <w:t>28</w:t>
            </w:r>
            <w:r w:rsidR="00061791" w:rsidRPr="00061791">
              <w:rPr>
                <w:webHidden/>
                <w:sz w:val="24"/>
                <w:szCs w:val="24"/>
              </w:rPr>
              <w:fldChar w:fldCharType="end"/>
            </w:r>
          </w:hyperlink>
        </w:p>
        <w:p w:rsidR="00205008" w:rsidRDefault="00710886" w:rsidP="00061791">
          <w:pPr>
            <w:spacing w:line="480" w:lineRule="auto"/>
            <w:rPr>
              <w:rFonts w:ascii="Palatino Linotype" w:hAnsi="Palatino Linotype"/>
              <w:b/>
              <w:bCs/>
              <w:sz w:val="24"/>
              <w:szCs w:val="24"/>
              <w:lang w:val="es-ES"/>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5DA3324A" wp14:editId="58CD3AF1">
                    <wp:simplePos x="0" y="0"/>
                    <wp:positionH relativeFrom="margin">
                      <wp:posOffset>-6985</wp:posOffset>
                    </wp:positionH>
                    <wp:positionV relativeFrom="paragraph">
                      <wp:posOffset>128269</wp:posOffset>
                    </wp:positionV>
                    <wp:extent cx="5708650" cy="3219450"/>
                    <wp:effectExtent l="0" t="0" r="25400" b="19050"/>
                    <wp:wrapNone/>
                    <wp:docPr id="2" name="Conector recto 2"/>
                    <wp:cNvGraphicFramePr/>
                    <a:graphic xmlns:a="http://schemas.openxmlformats.org/drawingml/2006/main">
                      <a:graphicData uri="http://schemas.microsoft.com/office/word/2010/wordprocessingShape">
                        <wps:wsp>
                          <wps:cNvCnPr/>
                          <wps:spPr>
                            <a:xfrm flipV="1">
                              <a:off x="0" y="0"/>
                              <a:ext cx="5708650" cy="32194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D56DE"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10.1pt" to="448.95pt,2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" strokecolor="black [3200]" strokeweight="1.5pt">
                    <v:stroke joinstyle="miter"/>
                    <w10:wrap anchorx="margin"/>
                  </v:line>
                </w:pict>
              </mc:Fallback>
            </mc:AlternateContent>
          </w:r>
          <w:r w:rsidR="00E6179D" w:rsidRPr="00061791">
            <w:rPr>
              <w:rFonts w:ascii="Palatino Linotype" w:hAnsi="Palatino Linotype" w:cs="Arial"/>
              <w:b/>
              <w:bCs/>
              <w:sz w:val="24"/>
              <w:szCs w:val="24"/>
              <w:lang w:val="es-ES"/>
            </w:rPr>
            <w:fldChar w:fldCharType="end"/>
          </w: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E6179D" w:rsidRPr="00CB2472" w:rsidRDefault="0078399D" w:rsidP="00B73B30">
          <w:pPr>
            <w:spacing w:line="360" w:lineRule="auto"/>
            <w:rPr>
              <w:rFonts w:ascii="Palatino Linotype" w:hAnsi="Palatino Linotype"/>
              <w:sz w:val="24"/>
              <w:szCs w:val="24"/>
            </w:rPr>
          </w:pP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5844190"/>
      <w:r w:rsidRPr="00427B79">
        <w:rPr>
          <w:rFonts w:eastAsia="Times New Roman"/>
          <w:color w:val="auto"/>
          <w:szCs w:val="24"/>
        </w:rPr>
        <w:lastRenderedPageBreak/>
        <w:t>Consideraciones Generales</w:t>
      </w:r>
      <w:bookmarkEnd w:id="0"/>
    </w:p>
    <w:p w:rsidR="0003648B" w:rsidRPr="00427B79" w:rsidRDefault="0003648B" w:rsidP="0003648B">
      <w:pPr>
        <w:pStyle w:val="TDC1"/>
        <w:ind w:left="0"/>
        <w:rPr>
          <w:sz w:val="24"/>
          <w:szCs w:val="24"/>
          <w:lang w:val="es-ES"/>
        </w:rPr>
      </w:pPr>
    </w:p>
    <w:p w:rsidR="00E6179D" w:rsidRPr="00427B79" w:rsidRDefault="00E6179D" w:rsidP="00DC3467">
      <w:pPr>
        <w:numPr>
          <w:ilvl w:val="0"/>
          <w:numId w:val="1"/>
        </w:numPr>
        <w:spacing w:after="0" w:line="360" w:lineRule="auto"/>
        <w:ind w:left="284" w:hanging="284"/>
        <w:contextualSpacing/>
        <w:jc w:val="both"/>
        <w:rPr>
          <w:rFonts w:ascii="Palatino Linotype" w:eastAsia="Calibri" w:hAnsi="Palatino Linotype" w:cs="Arial"/>
          <w:sz w:val="24"/>
          <w:szCs w:val="24"/>
        </w:rPr>
      </w:pPr>
      <w:r w:rsidRPr="00427B79">
        <w:rPr>
          <w:rFonts w:ascii="Palatino Linotype" w:eastAsia="Times New Roman" w:hAnsi="Palatino Linotype" w:cs="Arial"/>
          <w:sz w:val="24"/>
          <w:szCs w:val="24"/>
          <w:lang w:val="es-ES_tradnl"/>
        </w:rPr>
        <w:t>He</w:t>
      </w:r>
      <w:r w:rsidR="00745EF9">
        <w:rPr>
          <w:rFonts w:ascii="Palatino Linotype" w:eastAsia="Times New Roman" w:hAnsi="Palatino Linotype" w:cs="Arial"/>
          <w:sz w:val="24"/>
          <w:szCs w:val="24"/>
          <w:lang w:val="es-ES_tradnl"/>
        </w:rPr>
        <w:t>mos</w:t>
      </w:r>
      <w:r w:rsidRPr="00427B79">
        <w:rPr>
          <w:rFonts w:ascii="Palatino Linotype" w:eastAsia="Times New Roman" w:hAnsi="Palatino Linotype" w:cs="Arial"/>
          <w:sz w:val="24"/>
          <w:szCs w:val="24"/>
          <w:lang w:val="es-ES_tradnl"/>
        </w:rPr>
        <w:t xml:space="preserve"> concurrido con </w:t>
      </w:r>
      <w:r w:rsidR="00745EF9">
        <w:rPr>
          <w:rFonts w:ascii="Palatino Linotype" w:eastAsia="Times New Roman" w:hAnsi="Palatino Linotype" w:cs="Arial"/>
          <w:sz w:val="24"/>
          <w:szCs w:val="24"/>
          <w:lang w:val="es-ES_tradnl"/>
        </w:rPr>
        <w:t>nuestro</w:t>
      </w:r>
      <w:r w:rsidRPr="00427B79">
        <w:rPr>
          <w:rFonts w:ascii="Palatino Linotype" w:eastAsia="Times New Roman" w:hAnsi="Palatino Linotype" w:cs="Arial"/>
          <w:sz w:val="24"/>
          <w:szCs w:val="24"/>
          <w:lang w:val="es-ES_tradnl"/>
        </w:rPr>
        <w:t xml:space="preserve">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745EF9">
        <w:rPr>
          <w:rFonts w:ascii="Palatino Linotype" w:eastAsia="Calibri" w:hAnsi="Palatino Linotype" w:cs="Arial"/>
          <w:sz w:val="24"/>
          <w:szCs w:val="24"/>
        </w:rPr>
        <w:t>Segunda</w:t>
      </w:r>
      <w:r w:rsidRPr="00427B79">
        <w:rPr>
          <w:rFonts w:ascii="Palatino Linotype" w:eastAsia="Calibri" w:hAnsi="Palatino Linotype" w:cs="Arial"/>
          <w:sz w:val="24"/>
          <w:szCs w:val="24"/>
        </w:rPr>
        <w:t xml:space="preserve"> </w:t>
      </w:r>
      <w:r w:rsidR="00745EF9">
        <w:rPr>
          <w:rFonts w:ascii="Palatino Linotype" w:eastAsia="Calibri" w:hAnsi="Palatino Linotype" w:cs="Arial"/>
          <w:sz w:val="24"/>
          <w:szCs w:val="24"/>
        </w:rPr>
        <w:t xml:space="preserve">Sesión </w:t>
      </w:r>
      <w:r w:rsidRPr="00745EF9">
        <w:rPr>
          <w:rFonts w:ascii="Palatino Linotype" w:eastAsia="Calibri" w:hAnsi="Palatino Linotype" w:cs="Arial"/>
          <w:sz w:val="24"/>
          <w:szCs w:val="24"/>
        </w:rPr>
        <w:t xml:space="preserve">Ordinaria celebrada el día </w:t>
      </w:r>
      <w:r w:rsidR="00745EF9" w:rsidRPr="00745EF9">
        <w:rPr>
          <w:rFonts w:ascii="Palatino Linotype" w:eastAsia="Calibri" w:hAnsi="Palatino Linotype" w:cs="Arial"/>
          <w:sz w:val="24"/>
          <w:szCs w:val="24"/>
        </w:rPr>
        <w:t>dieciséis</w:t>
      </w:r>
      <w:r w:rsidRPr="00745EF9">
        <w:rPr>
          <w:rFonts w:ascii="Palatino Linotype" w:eastAsia="Calibri" w:hAnsi="Palatino Linotype" w:cs="Arial"/>
          <w:sz w:val="24"/>
          <w:szCs w:val="24"/>
        </w:rPr>
        <w:t xml:space="preserve"> (</w:t>
      </w:r>
      <w:r w:rsidR="00745EF9" w:rsidRPr="00745EF9">
        <w:rPr>
          <w:rFonts w:ascii="Palatino Linotype" w:eastAsia="Calibri" w:hAnsi="Palatino Linotype" w:cs="Arial"/>
          <w:sz w:val="24"/>
          <w:szCs w:val="24"/>
        </w:rPr>
        <w:t>1</w:t>
      </w:r>
      <w:r w:rsidR="0098539C" w:rsidRPr="00745EF9">
        <w:rPr>
          <w:rFonts w:ascii="Palatino Linotype" w:eastAsia="Calibri" w:hAnsi="Palatino Linotype" w:cs="Arial"/>
          <w:sz w:val="24"/>
          <w:szCs w:val="24"/>
        </w:rPr>
        <w:t>6</w:t>
      </w:r>
      <w:r w:rsidRPr="00745EF9">
        <w:rPr>
          <w:rFonts w:ascii="Palatino Linotype" w:eastAsia="Calibri" w:hAnsi="Palatino Linotype" w:cs="Arial"/>
          <w:sz w:val="24"/>
          <w:szCs w:val="24"/>
        </w:rPr>
        <w:t xml:space="preserve">) de </w:t>
      </w:r>
      <w:r w:rsidR="00745EF9" w:rsidRPr="00745EF9">
        <w:rPr>
          <w:rFonts w:ascii="Palatino Linotype" w:eastAsia="Calibri" w:hAnsi="Palatino Linotype" w:cs="Arial"/>
          <w:sz w:val="24"/>
          <w:szCs w:val="24"/>
        </w:rPr>
        <w:t>ener</w:t>
      </w:r>
      <w:r w:rsidR="001F0E58" w:rsidRPr="00745EF9">
        <w:rPr>
          <w:rFonts w:ascii="Palatino Linotype" w:eastAsia="Calibri" w:hAnsi="Palatino Linotype" w:cs="Arial"/>
          <w:sz w:val="24"/>
          <w:szCs w:val="24"/>
        </w:rPr>
        <w:t>o</w:t>
      </w:r>
      <w:r w:rsidRPr="00745EF9">
        <w:rPr>
          <w:rFonts w:ascii="Palatino Linotype" w:eastAsia="Calibri" w:hAnsi="Palatino Linotype" w:cs="Arial"/>
          <w:sz w:val="24"/>
          <w:szCs w:val="24"/>
        </w:rPr>
        <w:t xml:space="preserve"> de</w:t>
      </w:r>
      <w:r w:rsidR="001F0E58" w:rsidRPr="00745EF9">
        <w:rPr>
          <w:rFonts w:ascii="Palatino Linotype" w:eastAsia="Calibri" w:hAnsi="Palatino Linotype" w:cs="Arial"/>
          <w:sz w:val="24"/>
          <w:szCs w:val="24"/>
        </w:rPr>
        <w:t>l</w:t>
      </w:r>
      <w:r w:rsidRPr="00745EF9">
        <w:rPr>
          <w:rFonts w:ascii="Palatino Linotype" w:eastAsia="Calibri" w:hAnsi="Palatino Linotype" w:cs="Arial"/>
          <w:sz w:val="24"/>
          <w:szCs w:val="24"/>
        </w:rPr>
        <w:t xml:space="preserve"> </w:t>
      </w:r>
      <w:r w:rsidR="001F0E58" w:rsidRPr="00745EF9">
        <w:rPr>
          <w:rFonts w:ascii="Palatino Linotype" w:eastAsia="Calibri" w:hAnsi="Palatino Linotype" w:cs="Arial"/>
          <w:sz w:val="24"/>
          <w:szCs w:val="24"/>
        </w:rPr>
        <w:t>dos mil dieciocho</w:t>
      </w:r>
      <w:r w:rsidR="0098539C" w:rsidRPr="00745EF9">
        <w:rPr>
          <w:rFonts w:ascii="Palatino Linotype" w:eastAsia="Calibri" w:hAnsi="Palatino Linotype" w:cs="Arial"/>
          <w:sz w:val="24"/>
          <w:szCs w:val="24"/>
        </w:rPr>
        <w:t xml:space="preserve">, en </w:t>
      </w:r>
      <w:r w:rsidRPr="00745EF9">
        <w:rPr>
          <w:rFonts w:ascii="Palatino Linotype" w:eastAsia="Calibri" w:hAnsi="Palatino Linotype" w:cs="Arial"/>
          <w:sz w:val="24"/>
          <w:szCs w:val="24"/>
        </w:rPr>
        <w:t>l</w:t>
      </w:r>
      <w:r w:rsidR="0098539C" w:rsidRPr="00745EF9">
        <w:rPr>
          <w:rFonts w:ascii="Palatino Linotype" w:eastAsia="Calibri" w:hAnsi="Palatino Linotype" w:cs="Arial"/>
          <w:sz w:val="24"/>
          <w:szCs w:val="24"/>
        </w:rPr>
        <w:t>os</w:t>
      </w:r>
      <w:r w:rsidRPr="00745EF9">
        <w:rPr>
          <w:rFonts w:ascii="Palatino Linotype" w:eastAsia="Calibri" w:hAnsi="Palatino Linotype" w:cs="Arial"/>
          <w:sz w:val="24"/>
          <w:szCs w:val="24"/>
        </w:rPr>
        <w:t xml:space="preserve"> recurso</w:t>
      </w:r>
      <w:r w:rsidR="0098539C" w:rsidRPr="00745EF9">
        <w:rPr>
          <w:rFonts w:ascii="Palatino Linotype" w:eastAsia="Calibri" w:hAnsi="Palatino Linotype" w:cs="Arial"/>
          <w:sz w:val="24"/>
          <w:szCs w:val="24"/>
        </w:rPr>
        <w:t>s</w:t>
      </w:r>
      <w:r w:rsidRPr="00745EF9">
        <w:rPr>
          <w:rFonts w:ascii="Palatino Linotype" w:eastAsia="Calibri" w:hAnsi="Palatino Linotype" w:cs="Arial"/>
          <w:sz w:val="24"/>
          <w:szCs w:val="24"/>
        </w:rPr>
        <w:t xml:space="preserve"> de revisión interpuesto</w:t>
      </w:r>
      <w:r w:rsidR="0098539C" w:rsidRPr="00745EF9">
        <w:rPr>
          <w:rFonts w:ascii="Palatino Linotype" w:eastAsia="Calibri" w:hAnsi="Palatino Linotype" w:cs="Arial"/>
          <w:sz w:val="24"/>
          <w:szCs w:val="24"/>
        </w:rPr>
        <w:t>s</w:t>
      </w:r>
      <w:r w:rsidR="00745EF9" w:rsidRPr="00745EF9">
        <w:rPr>
          <w:rFonts w:ascii="Palatino Linotype" w:eastAsia="Calibri" w:hAnsi="Palatino Linotype" w:cs="Arial"/>
          <w:sz w:val="24"/>
          <w:szCs w:val="24"/>
        </w:rPr>
        <w:t xml:space="preserve">, </w:t>
      </w:r>
      <w:r w:rsidR="003E0648" w:rsidRPr="00745EF9">
        <w:rPr>
          <w:rFonts w:ascii="Palatino Linotype" w:eastAsia="Calibri" w:hAnsi="Palatino Linotype" w:cs="Arial"/>
          <w:sz w:val="24"/>
          <w:szCs w:val="24"/>
        </w:rPr>
        <w:t>en contra de la respuesta de</w:t>
      </w:r>
      <w:r w:rsidR="008B30D3" w:rsidRPr="00745EF9">
        <w:rPr>
          <w:rFonts w:ascii="Palatino Linotype" w:eastAsia="Calibri" w:hAnsi="Palatino Linotype" w:cs="Arial"/>
          <w:sz w:val="24"/>
          <w:szCs w:val="24"/>
        </w:rPr>
        <w:t xml:space="preserve"> </w:t>
      </w:r>
      <w:r w:rsidR="009A0D68" w:rsidRPr="00745EF9">
        <w:rPr>
          <w:rFonts w:ascii="Palatino Linotype" w:eastAsia="Calibri" w:hAnsi="Palatino Linotype" w:cs="Arial"/>
          <w:sz w:val="24"/>
          <w:szCs w:val="24"/>
        </w:rPr>
        <w:t>l</w:t>
      </w:r>
      <w:r w:rsidR="008B30D3" w:rsidRPr="00745EF9">
        <w:rPr>
          <w:rFonts w:ascii="Palatino Linotype" w:eastAsia="Calibri" w:hAnsi="Palatino Linotype" w:cs="Arial"/>
          <w:sz w:val="24"/>
          <w:szCs w:val="24"/>
        </w:rPr>
        <w:t>a</w:t>
      </w:r>
      <w:r w:rsidR="009A0D68" w:rsidRPr="00745EF9">
        <w:rPr>
          <w:rFonts w:ascii="Palatino Linotype" w:eastAsia="Calibri" w:hAnsi="Palatino Linotype" w:cs="Arial"/>
          <w:sz w:val="24"/>
          <w:szCs w:val="24"/>
        </w:rPr>
        <w:t xml:space="preserve"> </w:t>
      </w:r>
      <w:r w:rsidR="008B30D3" w:rsidRPr="00745EF9">
        <w:rPr>
          <w:rFonts w:ascii="Palatino Linotype" w:eastAsia="Calibri" w:hAnsi="Palatino Linotype" w:cs="Arial"/>
          <w:b/>
          <w:sz w:val="24"/>
          <w:szCs w:val="24"/>
        </w:rPr>
        <w:t>Universidad Politécnica del Valle de Toluca</w:t>
      </w:r>
      <w:r w:rsidR="0045613E" w:rsidRPr="00745EF9">
        <w:rPr>
          <w:rFonts w:ascii="Palatino Linotype" w:hAnsi="Palatino Linotype" w:cs="Arial"/>
          <w:b/>
          <w:sz w:val="24"/>
          <w:szCs w:val="24"/>
        </w:rPr>
        <w:t xml:space="preserve">, </w:t>
      </w:r>
      <w:r w:rsidRPr="00745EF9">
        <w:rPr>
          <w:rFonts w:ascii="Palatino Linotype" w:eastAsia="Calibri" w:hAnsi="Palatino Linotype" w:cs="Arial"/>
          <w:sz w:val="24"/>
          <w:szCs w:val="24"/>
        </w:rPr>
        <w:t>procedimiento</w:t>
      </w:r>
      <w:r w:rsidR="00745EF9" w:rsidRPr="00745EF9">
        <w:rPr>
          <w:rFonts w:ascii="Palatino Linotype" w:eastAsia="Calibri" w:hAnsi="Palatino Linotype" w:cs="Arial"/>
          <w:sz w:val="24"/>
          <w:szCs w:val="24"/>
        </w:rPr>
        <w:t>s</w:t>
      </w:r>
      <w:r w:rsidRPr="00745EF9">
        <w:rPr>
          <w:rFonts w:ascii="Palatino Linotype" w:eastAsia="Calibri" w:hAnsi="Palatino Linotype" w:cs="Arial"/>
          <w:sz w:val="24"/>
          <w:szCs w:val="24"/>
        </w:rPr>
        <w:t xml:space="preserve"> que le</w:t>
      </w:r>
      <w:r w:rsidR="00745EF9" w:rsidRPr="00745EF9">
        <w:rPr>
          <w:rFonts w:ascii="Palatino Linotype" w:eastAsia="Calibri" w:hAnsi="Palatino Linotype" w:cs="Arial"/>
          <w:sz w:val="24"/>
          <w:szCs w:val="24"/>
        </w:rPr>
        <w:t>s</w:t>
      </w:r>
      <w:r w:rsidRPr="00745EF9">
        <w:rPr>
          <w:rFonts w:ascii="Palatino Linotype" w:eastAsia="Calibri" w:hAnsi="Palatino Linotype" w:cs="Arial"/>
          <w:sz w:val="24"/>
          <w:szCs w:val="24"/>
        </w:rPr>
        <w:t xml:space="preserve"> fue</w:t>
      </w:r>
      <w:r w:rsidR="00745EF9" w:rsidRPr="00745EF9">
        <w:rPr>
          <w:rFonts w:ascii="Palatino Linotype" w:eastAsia="Calibri" w:hAnsi="Palatino Linotype" w:cs="Arial"/>
          <w:sz w:val="24"/>
          <w:szCs w:val="24"/>
        </w:rPr>
        <w:t>ron</w:t>
      </w:r>
      <w:r w:rsidRPr="00745EF9">
        <w:rPr>
          <w:rFonts w:ascii="Palatino Linotype" w:eastAsia="Calibri" w:hAnsi="Palatino Linotype" w:cs="Arial"/>
          <w:sz w:val="24"/>
          <w:szCs w:val="24"/>
        </w:rPr>
        <w:t xml:space="preserve"> asignado</w:t>
      </w:r>
      <w:r w:rsidR="00745EF9" w:rsidRPr="00745EF9">
        <w:rPr>
          <w:rFonts w:ascii="Palatino Linotype" w:eastAsia="Calibri" w:hAnsi="Palatino Linotype" w:cs="Arial"/>
          <w:sz w:val="24"/>
          <w:szCs w:val="24"/>
        </w:rPr>
        <w:t>s</w:t>
      </w:r>
      <w:r w:rsidRPr="00745EF9">
        <w:rPr>
          <w:rFonts w:ascii="Palatino Linotype" w:eastAsia="Calibri" w:hAnsi="Palatino Linotype" w:cs="Arial"/>
          <w:sz w:val="24"/>
          <w:szCs w:val="24"/>
        </w:rPr>
        <w:t xml:space="preserve"> l</w:t>
      </w:r>
      <w:r w:rsidR="00745EF9" w:rsidRPr="00745EF9">
        <w:rPr>
          <w:rFonts w:ascii="Palatino Linotype" w:eastAsia="Calibri" w:hAnsi="Palatino Linotype" w:cs="Arial"/>
          <w:sz w:val="24"/>
          <w:szCs w:val="24"/>
        </w:rPr>
        <w:t>os</w:t>
      </w:r>
      <w:r w:rsidRPr="00745EF9">
        <w:rPr>
          <w:rFonts w:ascii="Palatino Linotype" w:eastAsia="Calibri" w:hAnsi="Palatino Linotype" w:cs="Arial"/>
          <w:sz w:val="24"/>
          <w:szCs w:val="24"/>
        </w:rPr>
        <w:t xml:space="preserve"> número</w:t>
      </w:r>
      <w:r w:rsidR="00745EF9" w:rsidRPr="00745EF9">
        <w:rPr>
          <w:rFonts w:ascii="Palatino Linotype" w:eastAsia="Calibri" w:hAnsi="Palatino Linotype" w:cs="Arial"/>
          <w:sz w:val="24"/>
          <w:szCs w:val="24"/>
        </w:rPr>
        <w:t>s</w:t>
      </w:r>
      <w:r w:rsidRPr="00745EF9">
        <w:rPr>
          <w:rFonts w:ascii="Palatino Linotype" w:eastAsia="Calibri" w:hAnsi="Palatino Linotype" w:cs="Arial"/>
          <w:sz w:val="24"/>
          <w:szCs w:val="24"/>
        </w:rPr>
        <w:t xml:space="preserve"> de expediente</w:t>
      </w:r>
      <w:r w:rsidR="00745EF9">
        <w:rPr>
          <w:rFonts w:ascii="Palatino Linotype" w:eastAsia="Calibri" w:hAnsi="Palatino Linotype" w:cs="Arial"/>
          <w:sz w:val="24"/>
          <w:szCs w:val="24"/>
        </w:rPr>
        <w:t>s</w:t>
      </w:r>
      <w:r w:rsidR="00DB39B5" w:rsidRPr="00745EF9">
        <w:rPr>
          <w:rFonts w:ascii="Palatino Linotype" w:eastAsia="Calibri" w:hAnsi="Palatino Linotype" w:cs="Arial"/>
          <w:sz w:val="24"/>
          <w:szCs w:val="24"/>
        </w:rPr>
        <w:t xml:space="preserve"> </w:t>
      </w:r>
      <w:r w:rsidR="008A11E3" w:rsidRPr="0069045D">
        <w:rPr>
          <w:rFonts w:ascii="Palatino Linotype" w:hAnsi="Palatino Linotype" w:cs="Arial"/>
          <w:b/>
          <w:sz w:val="24"/>
        </w:rPr>
        <w:t>0</w:t>
      </w:r>
      <w:r w:rsidR="008A11E3">
        <w:rPr>
          <w:rFonts w:ascii="Palatino Linotype" w:hAnsi="Palatino Linotype" w:cs="Arial"/>
          <w:b/>
          <w:sz w:val="24"/>
        </w:rPr>
        <w:t>4195</w:t>
      </w:r>
      <w:r w:rsidR="008A11E3" w:rsidRPr="00713D8F">
        <w:rPr>
          <w:rFonts w:ascii="Palatino Linotype" w:hAnsi="Palatino Linotype" w:cs="Arial"/>
          <w:b/>
          <w:bCs/>
          <w:sz w:val="24"/>
          <w:lang w:eastAsia="es-MX"/>
        </w:rPr>
        <w:t>/INFOEM/IP/RR/201</w:t>
      </w:r>
      <w:r w:rsidR="008A11E3">
        <w:rPr>
          <w:rFonts w:ascii="Palatino Linotype" w:hAnsi="Palatino Linotype" w:cs="Arial"/>
          <w:b/>
          <w:bCs/>
          <w:sz w:val="24"/>
          <w:lang w:eastAsia="es-MX"/>
        </w:rPr>
        <w:t xml:space="preserve">8, </w:t>
      </w:r>
      <w:r w:rsidR="008A11E3" w:rsidRPr="0069045D">
        <w:rPr>
          <w:rFonts w:ascii="Palatino Linotype" w:hAnsi="Palatino Linotype" w:cs="Arial"/>
          <w:b/>
          <w:sz w:val="24"/>
        </w:rPr>
        <w:t>0</w:t>
      </w:r>
      <w:r w:rsidR="008A11E3">
        <w:rPr>
          <w:rFonts w:ascii="Palatino Linotype" w:hAnsi="Palatino Linotype" w:cs="Arial"/>
          <w:b/>
          <w:sz w:val="24"/>
        </w:rPr>
        <w:t>4196</w:t>
      </w:r>
      <w:r w:rsidR="008A11E3" w:rsidRPr="00713D8F">
        <w:rPr>
          <w:rFonts w:ascii="Palatino Linotype" w:hAnsi="Palatino Linotype" w:cs="Arial"/>
          <w:b/>
          <w:bCs/>
          <w:sz w:val="24"/>
          <w:lang w:eastAsia="es-MX"/>
        </w:rPr>
        <w:t>/INFOEM/IP/RR/201</w:t>
      </w:r>
      <w:r w:rsidR="008A11E3">
        <w:rPr>
          <w:rFonts w:ascii="Palatino Linotype" w:hAnsi="Palatino Linotype" w:cs="Arial"/>
          <w:b/>
          <w:bCs/>
          <w:sz w:val="24"/>
          <w:lang w:eastAsia="es-MX"/>
        </w:rPr>
        <w:t xml:space="preserve">8, </w:t>
      </w:r>
      <w:r w:rsidR="008A11E3" w:rsidRPr="0069045D">
        <w:rPr>
          <w:rFonts w:ascii="Palatino Linotype" w:hAnsi="Palatino Linotype" w:cs="Arial"/>
          <w:b/>
          <w:sz w:val="24"/>
        </w:rPr>
        <w:t>0</w:t>
      </w:r>
      <w:r w:rsidR="008A11E3">
        <w:rPr>
          <w:rFonts w:ascii="Palatino Linotype" w:hAnsi="Palatino Linotype" w:cs="Arial"/>
          <w:b/>
          <w:sz w:val="24"/>
        </w:rPr>
        <w:t>4197</w:t>
      </w:r>
      <w:r w:rsidR="008A11E3" w:rsidRPr="00713D8F">
        <w:rPr>
          <w:rFonts w:ascii="Palatino Linotype" w:hAnsi="Palatino Linotype" w:cs="Arial"/>
          <w:b/>
          <w:bCs/>
          <w:sz w:val="24"/>
          <w:lang w:eastAsia="es-MX"/>
        </w:rPr>
        <w:t>/INFOEM/IP/RR/201</w:t>
      </w:r>
      <w:r w:rsidR="008A11E3">
        <w:rPr>
          <w:rFonts w:ascii="Palatino Linotype" w:hAnsi="Palatino Linotype" w:cs="Arial"/>
          <w:b/>
          <w:bCs/>
          <w:sz w:val="24"/>
          <w:lang w:eastAsia="es-MX"/>
        </w:rPr>
        <w:t xml:space="preserve">8, </w:t>
      </w:r>
      <w:r w:rsidR="008A11E3" w:rsidRPr="0069045D">
        <w:rPr>
          <w:rFonts w:ascii="Palatino Linotype" w:hAnsi="Palatino Linotype" w:cs="Arial"/>
          <w:b/>
          <w:sz w:val="24"/>
        </w:rPr>
        <w:t>0</w:t>
      </w:r>
      <w:r w:rsidR="008A11E3">
        <w:rPr>
          <w:rFonts w:ascii="Palatino Linotype" w:hAnsi="Palatino Linotype" w:cs="Arial"/>
          <w:b/>
          <w:sz w:val="24"/>
        </w:rPr>
        <w:t>4198</w:t>
      </w:r>
      <w:r w:rsidR="008A11E3" w:rsidRPr="00713D8F">
        <w:rPr>
          <w:rFonts w:ascii="Palatino Linotype" w:hAnsi="Palatino Linotype" w:cs="Arial"/>
          <w:b/>
          <w:bCs/>
          <w:sz w:val="24"/>
          <w:lang w:eastAsia="es-MX"/>
        </w:rPr>
        <w:t>/INFOEM/IP/RR/201</w:t>
      </w:r>
      <w:r w:rsidR="008A11E3">
        <w:rPr>
          <w:rFonts w:ascii="Palatino Linotype" w:hAnsi="Palatino Linotype" w:cs="Arial"/>
          <w:b/>
          <w:bCs/>
          <w:sz w:val="24"/>
          <w:lang w:eastAsia="es-MX"/>
        </w:rPr>
        <w:t xml:space="preserve">8, </w:t>
      </w:r>
      <w:r w:rsidR="008A11E3" w:rsidRPr="0069045D">
        <w:rPr>
          <w:rFonts w:ascii="Palatino Linotype" w:hAnsi="Palatino Linotype" w:cs="Arial"/>
          <w:b/>
          <w:sz w:val="24"/>
        </w:rPr>
        <w:t>0</w:t>
      </w:r>
      <w:r w:rsidR="008A11E3">
        <w:rPr>
          <w:rFonts w:ascii="Palatino Linotype" w:hAnsi="Palatino Linotype" w:cs="Arial"/>
          <w:b/>
          <w:sz w:val="24"/>
        </w:rPr>
        <w:t>4199</w:t>
      </w:r>
      <w:r w:rsidR="008A11E3" w:rsidRPr="00713D8F">
        <w:rPr>
          <w:rFonts w:ascii="Palatino Linotype" w:hAnsi="Palatino Linotype" w:cs="Arial"/>
          <w:b/>
          <w:bCs/>
          <w:sz w:val="24"/>
          <w:lang w:eastAsia="es-MX"/>
        </w:rPr>
        <w:t>/INFOEM/IP/RR/201</w:t>
      </w:r>
      <w:r w:rsidR="008A11E3">
        <w:rPr>
          <w:rFonts w:ascii="Palatino Linotype" w:hAnsi="Palatino Linotype" w:cs="Arial"/>
          <w:b/>
          <w:bCs/>
          <w:sz w:val="24"/>
          <w:lang w:eastAsia="es-MX"/>
        </w:rPr>
        <w:t xml:space="preserve">8, </w:t>
      </w:r>
      <w:r w:rsidR="008A11E3" w:rsidRPr="0069045D">
        <w:rPr>
          <w:rFonts w:ascii="Palatino Linotype" w:hAnsi="Palatino Linotype" w:cs="Arial"/>
          <w:b/>
          <w:sz w:val="24"/>
        </w:rPr>
        <w:t>0</w:t>
      </w:r>
      <w:r w:rsidR="008A11E3">
        <w:rPr>
          <w:rFonts w:ascii="Palatino Linotype" w:hAnsi="Palatino Linotype" w:cs="Arial"/>
          <w:b/>
          <w:sz w:val="24"/>
        </w:rPr>
        <w:t>4200</w:t>
      </w:r>
      <w:r w:rsidR="008A11E3" w:rsidRPr="00713D8F">
        <w:rPr>
          <w:rFonts w:ascii="Palatino Linotype" w:hAnsi="Palatino Linotype" w:cs="Arial"/>
          <w:b/>
          <w:bCs/>
          <w:sz w:val="24"/>
          <w:lang w:eastAsia="es-MX"/>
        </w:rPr>
        <w:t>/INFOEM/IP/RR/201</w:t>
      </w:r>
      <w:r w:rsidR="008A11E3">
        <w:rPr>
          <w:rFonts w:ascii="Palatino Linotype" w:hAnsi="Palatino Linotype" w:cs="Arial"/>
          <w:b/>
          <w:bCs/>
          <w:sz w:val="24"/>
          <w:lang w:eastAsia="es-MX"/>
        </w:rPr>
        <w:t xml:space="preserve">8, </w:t>
      </w:r>
      <w:r w:rsidR="008A11E3" w:rsidRPr="0069045D">
        <w:rPr>
          <w:rFonts w:ascii="Palatino Linotype" w:hAnsi="Palatino Linotype" w:cs="Arial"/>
          <w:b/>
          <w:sz w:val="24"/>
        </w:rPr>
        <w:t>0</w:t>
      </w:r>
      <w:r w:rsidR="008A11E3">
        <w:rPr>
          <w:rFonts w:ascii="Palatino Linotype" w:hAnsi="Palatino Linotype" w:cs="Arial"/>
          <w:b/>
          <w:sz w:val="24"/>
        </w:rPr>
        <w:t>4201</w:t>
      </w:r>
      <w:r w:rsidR="008A11E3" w:rsidRPr="00713D8F">
        <w:rPr>
          <w:rFonts w:ascii="Palatino Linotype" w:hAnsi="Palatino Linotype" w:cs="Arial"/>
          <w:b/>
          <w:bCs/>
          <w:sz w:val="24"/>
          <w:lang w:eastAsia="es-MX"/>
        </w:rPr>
        <w:t>/INFOEM/IP/RR/201</w:t>
      </w:r>
      <w:r w:rsidR="008A11E3">
        <w:rPr>
          <w:rFonts w:ascii="Palatino Linotype" w:hAnsi="Palatino Linotype" w:cs="Arial"/>
          <w:b/>
          <w:bCs/>
          <w:sz w:val="24"/>
          <w:lang w:eastAsia="es-MX"/>
        </w:rPr>
        <w:t>8,</w:t>
      </w:r>
      <w:r w:rsidR="008A11E3" w:rsidRPr="00BA28D7">
        <w:rPr>
          <w:rFonts w:ascii="Palatino Linotype" w:hAnsi="Palatino Linotype" w:cs="Arial"/>
          <w:b/>
          <w:sz w:val="24"/>
        </w:rPr>
        <w:t xml:space="preserve"> </w:t>
      </w:r>
      <w:r w:rsidR="008A11E3" w:rsidRPr="0069045D">
        <w:rPr>
          <w:rFonts w:ascii="Palatino Linotype" w:hAnsi="Palatino Linotype" w:cs="Arial"/>
          <w:b/>
          <w:sz w:val="24"/>
        </w:rPr>
        <w:t>0</w:t>
      </w:r>
      <w:r w:rsidR="008A11E3">
        <w:rPr>
          <w:rFonts w:ascii="Palatino Linotype" w:hAnsi="Palatino Linotype" w:cs="Arial"/>
          <w:b/>
          <w:sz w:val="24"/>
        </w:rPr>
        <w:t>4202</w:t>
      </w:r>
      <w:r w:rsidR="008A11E3" w:rsidRPr="00713D8F">
        <w:rPr>
          <w:rFonts w:ascii="Palatino Linotype" w:hAnsi="Palatino Linotype" w:cs="Arial"/>
          <w:b/>
          <w:bCs/>
          <w:sz w:val="24"/>
          <w:lang w:eastAsia="es-MX"/>
        </w:rPr>
        <w:t>/INFOEM/IP/RR/201</w:t>
      </w:r>
      <w:r w:rsidR="008A11E3">
        <w:rPr>
          <w:rFonts w:ascii="Palatino Linotype" w:hAnsi="Palatino Linotype" w:cs="Arial"/>
          <w:b/>
          <w:bCs/>
          <w:sz w:val="24"/>
          <w:lang w:eastAsia="es-MX"/>
        </w:rPr>
        <w:t xml:space="preserve">8,  </w:t>
      </w:r>
      <w:r w:rsidR="008A11E3" w:rsidRPr="0069045D">
        <w:rPr>
          <w:rFonts w:ascii="Palatino Linotype" w:hAnsi="Palatino Linotype" w:cs="Arial"/>
          <w:b/>
          <w:sz w:val="24"/>
        </w:rPr>
        <w:t>0</w:t>
      </w:r>
      <w:r w:rsidR="008A11E3">
        <w:rPr>
          <w:rFonts w:ascii="Palatino Linotype" w:hAnsi="Palatino Linotype" w:cs="Arial"/>
          <w:b/>
          <w:sz w:val="24"/>
        </w:rPr>
        <w:t>4203/</w:t>
      </w:r>
      <w:r w:rsidR="008A11E3" w:rsidRPr="00713D8F">
        <w:rPr>
          <w:rFonts w:ascii="Palatino Linotype" w:hAnsi="Palatino Linotype" w:cs="Arial"/>
          <w:b/>
          <w:bCs/>
          <w:sz w:val="24"/>
          <w:lang w:eastAsia="es-MX"/>
        </w:rPr>
        <w:t>INFOEM/IP/RR/201</w:t>
      </w:r>
      <w:r w:rsidR="008A11E3">
        <w:rPr>
          <w:rFonts w:ascii="Palatino Linotype" w:hAnsi="Palatino Linotype" w:cs="Arial"/>
          <w:b/>
          <w:bCs/>
          <w:sz w:val="24"/>
          <w:lang w:eastAsia="es-MX"/>
        </w:rPr>
        <w:t xml:space="preserve">8, </w:t>
      </w:r>
      <w:r w:rsidR="008A11E3" w:rsidRPr="0069045D">
        <w:rPr>
          <w:rFonts w:ascii="Palatino Linotype" w:hAnsi="Palatino Linotype" w:cs="Arial"/>
          <w:b/>
          <w:sz w:val="24"/>
        </w:rPr>
        <w:t>0</w:t>
      </w:r>
      <w:r w:rsidR="008A11E3">
        <w:rPr>
          <w:rFonts w:ascii="Palatino Linotype" w:hAnsi="Palatino Linotype" w:cs="Arial"/>
          <w:b/>
          <w:sz w:val="24"/>
        </w:rPr>
        <w:t>4204/</w:t>
      </w:r>
      <w:r w:rsidR="008A11E3" w:rsidRPr="00713D8F">
        <w:rPr>
          <w:rFonts w:ascii="Palatino Linotype" w:hAnsi="Palatino Linotype" w:cs="Arial"/>
          <w:b/>
          <w:bCs/>
          <w:sz w:val="24"/>
          <w:lang w:eastAsia="es-MX"/>
        </w:rPr>
        <w:t>INFOEM/IP/RR/201</w:t>
      </w:r>
      <w:r w:rsidR="008A11E3">
        <w:rPr>
          <w:rFonts w:ascii="Palatino Linotype" w:hAnsi="Palatino Linotype" w:cs="Arial"/>
          <w:b/>
          <w:bCs/>
          <w:sz w:val="24"/>
          <w:lang w:eastAsia="es-MX"/>
        </w:rPr>
        <w:t xml:space="preserve">8 </w:t>
      </w:r>
      <w:r w:rsidR="008A11E3" w:rsidRPr="00AC7143">
        <w:rPr>
          <w:rFonts w:ascii="Palatino Linotype" w:hAnsi="Palatino Linotype" w:cs="Arial"/>
          <w:bCs/>
          <w:sz w:val="24"/>
          <w:lang w:eastAsia="es-MX"/>
        </w:rPr>
        <w:t>y</w:t>
      </w:r>
      <w:r w:rsidR="008A11E3" w:rsidRPr="00713D8F">
        <w:rPr>
          <w:rFonts w:ascii="Palatino Linotype" w:hAnsi="Palatino Linotype" w:cs="Arial"/>
          <w:b/>
          <w:bCs/>
          <w:sz w:val="24"/>
          <w:lang w:eastAsia="es-MX"/>
        </w:rPr>
        <w:t xml:space="preserve"> 0</w:t>
      </w:r>
      <w:r w:rsidR="008A11E3">
        <w:rPr>
          <w:rFonts w:ascii="Palatino Linotype" w:hAnsi="Palatino Linotype" w:cs="Arial"/>
          <w:b/>
          <w:bCs/>
          <w:sz w:val="24"/>
          <w:lang w:eastAsia="es-MX"/>
        </w:rPr>
        <w:t>4205</w:t>
      </w:r>
      <w:r w:rsidR="008A11E3" w:rsidRPr="00713D8F">
        <w:rPr>
          <w:rFonts w:ascii="Palatino Linotype" w:hAnsi="Palatino Linotype" w:cs="Arial"/>
          <w:b/>
          <w:bCs/>
          <w:sz w:val="24"/>
          <w:lang w:eastAsia="es-MX"/>
        </w:rPr>
        <w:t>/INFOEM/IP/RR/201</w:t>
      </w:r>
      <w:r w:rsidR="008A11E3">
        <w:rPr>
          <w:rFonts w:ascii="Palatino Linotype" w:hAnsi="Palatino Linotype" w:cs="Arial"/>
          <w:b/>
          <w:bCs/>
          <w:sz w:val="24"/>
          <w:lang w:eastAsia="es-MX"/>
        </w:rPr>
        <w:t>8 ACUMULADOS</w:t>
      </w:r>
      <w:r w:rsidRPr="00745EF9">
        <w:rPr>
          <w:rFonts w:ascii="Palatino Linotype" w:eastAsia="Calibri" w:hAnsi="Palatino Linotype" w:cs="Arial"/>
          <w:b/>
          <w:sz w:val="24"/>
          <w:szCs w:val="24"/>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745EF9" w:rsidRDefault="00E6179D" w:rsidP="008A11E3">
      <w:pPr>
        <w:numPr>
          <w:ilvl w:val="0"/>
          <w:numId w:val="1"/>
        </w:numPr>
        <w:spacing w:after="0" w:line="360" w:lineRule="auto"/>
        <w:contextualSpacing/>
        <w:jc w:val="both"/>
        <w:rPr>
          <w:rFonts w:ascii="Palatino Linotype" w:eastAsia="Calibri" w:hAnsi="Palatino Linotype" w:cs="Arial"/>
          <w:sz w:val="24"/>
          <w:szCs w:val="24"/>
        </w:rPr>
      </w:pPr>
      <w:r w:rsidRPr="00745EF9">
        <w:rPr>
          <w:rFonts w:ascii="Palatino Linotype" w:eastAsia="Calibri" w:hAnsi="Palatino Linotype" w:cs="Arial"/>
          <w:sz w:val="24"/>
          <w:szCs w:val="24"/>
        </w:rPr>
        <w:t>La resolución determina</w:t>
      </w:r>
      <w:r w:rsidR="00745EF9" w:rsidRPr="00745EF9">
        <w:rPr>
          <w:rFonts w:ascii="Palatino Linotype" w:eastAsia="Calibri" w:hAnsi="Palatino Linotype" w:cs="Arial"/>
          <w:sz w:val="24"/>
          <w:szCs w:val="24"/>
        </w:rPr>
        <w:t xml:space="preserve"> </w:t>
      </w:r>
      <w:r w:rsidR="008A11E3">
        <w:rPr>
          <w:rFonts w:ascii="Palatino Linotype" w:hAnsi="Palatino Linotype" w:cs="Arial"/>
          <w:b/>
          <w:color w:val="000000" w:themeColor="text1"/>
          <w:sz w:val="24"/>
          <w:szCs w:val="24"/>
        </w:rPr>
        <w:t>confirmar</w:t>
      </w:r>
      <w:r w:rsidR="008A11E3" w:rsidRPr="008A11E3">
        <w:rPr>
          <w:rFonts w:ascii="Palatino Linotype" w:hAnsi="Palatino Linotype" w:cs="Arial"/>
          <w:b/>
          <w:color w:val="000000" w:themeColor="text1"/>
          <w:sz w:val="24"/>
          <w:szCs w:val="24"/>
        </w:rPr>
        <w:t xml:space="preserve"> las respuestas del Sujeto Obligado a las solicitudes de información 01327/UPVT/IP/2018, 01326/UPVT/IP/2018, 01325/UPVT/IP/2018, 01324/UPVT/IP/2018, 01323/UPVT/IP/2018, 01322/UPVT/IP/2018, 01320/UPVT/IP/2018, 01319/UPVT/IP/2018, 01318/UPVT/IP/2018, 01317/UPVT/IP/2018 y 01316/UPVT/IP/2018 por resultar infundadas las razones o motivos de inconformidad hechos valer la Recurrente</w:t>
      </w:r>
      <w:r w:rsidR="00745EF9">
        <w:rPr>
          <w:rFonts w:ascii="Palatino Linotype" w:hAnsi="Palatino Linotype" w:cs="Arial"/>
          <w:b/>
          <w:sz w:val="24"/>
          <w:szCs w:val="24"/>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04ADD" w:rsidP="00DC3467">
      <w:pPr>
        <w:numPr>
          <w:ilvl w:val="0"/>
          <w:numId w:val="1"/>
        </w:numPr>
        <w:spacing w:after="0" w:line="360" w:lineRule="auto"/>
        <w:ind w:left="284" w:hanging="284"/>
        <w:contextualSpacing/>
        <w:jc w:val="both"/>
        <w:rPr>
          <w:rFonts w:ascii="Palatino Linotype" w:eastAsia="Calibri" w:hAnsi="Palatino Linotype" w:cs="Arial"/>
          <w:sz w:val="24"/>
          <w:szCs w:val="24"/>
          <w:lang w:val="es-ES"/>
        </w:rPr>
      </w:pPr>
      <w:r>
        <w:rPr>
          <w:rFonts w:ascii="Palatino Linotype" w:eastAsia="Calibri" w:hAnsi="Palatino Linotype" w:cs="Arial"/>
          <w:sz w:val="24"/>
          <w:szCs w:val="24"/>
        </w:rPr>
        <w:lastRenderedPageBreak/>
        <w:t>D</w:t>
      </w:r>
      <w:r w:rsidR="00E6179D" w:rsidRPr="00427B79">
        <w:rPr>
          <w:rFonts w:ascii="Palatino Linotype" w:eastAsia="Calibri" w:hAnsi="Palatino Linotype" w:cs="Arial"/>
          <w:sz w:val="24"/>
          <w:szCs w:val="24"/>
        </w:rPr>
        <w:t>e acuerdo c</w:t>
      </w:r>
      <w:r w:rsidR="008B30D3">
        <w:rPr>
          <w:rFonts w:ascii="Palatino Linotype" w:eastAsia="Calibri" w:hAnsi="Palatino Linotype" w:cs="Arial"/>
          <w:sz w:val="24"/>
          <w:szCs w:val="24"/>
        </w:rPr>
        <w:t xml:space="preserve">on la resolución formulada por </w:t>
      </w:r>
      <w:r w:rsidR="00E6179D" w:rsidRPr="00427B79">
        <w:rPr>
          <w:rFonts w:ascii="Palatino Linotype" w:eastAsia="Calibri" w:hAnsi="Palatino Linotype" w:cs="Arial"/>
          <w:sz w:val="24"/>
          <w:szCs w:val="24"/>
        </w:rPr>
        <w:t>l</w:t>
      </w:r>
      <w:r w:rsidR="008B30D3">
        <w:rPr>
          <w:rFonts w:ascii="Palatino Linotype" w:eastAsia="Calibri" w:hAnsi="Palatino Linotype" w:cs="Arial"/>
          <w:sz w:val="24"/>
          <w:szCs w:val="24"/>
        </w:rPr>
        <w:t xml:space="preserve">a </w:t>
      </w:r>
      <w:r>
        <w:rPr>
          <w:rFonts w:ascii="Palatino Linotype" w:eastAsia="Calibri" w:hAnsi="Palatino Linotype" w:cs="Arial"/>
          <w:sz w:val="24"/>
          <w:szCs w:val="24"/>
        </w:rPr>
        <w:t>C</w:t>
      </w:r>
      <w:r w:rsidR="008B30D3">
        <w:rPr>
          <w:rFonts w:ascii="Palatino Linotype" w:eastAsia="Calibri" w:hAnsi="Palatino Linotype" w:cs="Arial"/>
          <w:sz w:val="24"/>
          <w:szCs w:val="24"/>
        </w:rPr>
        <w:t>omisionada</w:t>
      </w:r>
      <w:r w:rsidR="00E6179D"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P</w:t>
      </w:r>
      <w:r w:rsidR="00E6179D" w:rsidRPr="00427B79">
        <w:rPr>
          <w:rFonts w:ascii="Palatino Linotype" w:eastAsia="Calibri" w:hAnsi="Palatino Linotype" w:cs="Arial"/>
          <w:sz w:val="24"/>
          <w:szCs w:val="24"/>
        </w:rPr>
        <w:t xml:space="preserve">onente, </w:t>
      </w:r>
      <w:r w:rsidR="00E858D1">
        <w:rPr>
          <w:rFonts w:ascii="Palatino Linotype" w:eastAsia="Calibri" w:hAnsi="Palatino Linotype" w:cs="Arial"/>
          <w:sz w:val="24"/>
          <w:szCs w:val="24"/>
        </w:rPr>
        <w:t>nuestro</w:t>
      </w:r>
      <w:r w:rsidR="00E6179D" w:rsidRPr="00427B79">
        <w:rPr>
          <w:rFonts w:ascii="Palatino Linotype" w:eastAsia="Calibri" w:hAnsi="Palatino Linotype" w:cs="Arial"/>
          <w:sz w:val="24"/>
          <w:szCs w:val="24"/>
        </w:rPr>
        <w:t xml:space="preserve"> voto particular se deriva de</w:t>
      </w:r>
      <w:r w:rsidR="00E97A4D">
        <w:rPr>
          <w:rFonts w:ascii="Palatino Linotype" w:eastAsia="Calibri" w:hAnsi="Palatino Linotype" w:cs="Arial"/>
          <w:sz w:val="24"/>
          <w:szCs w:val="24"/>
          <w:lang w:val="es-ES"/>
        </w:rPr>
        <w:t>l</w:t>
      </w:r>
      <w:r w:rsidR="00061791">
        <w:rPr>
          <w:rFonts w:ascii="Palatino Linotype" w:eastAsia="Calibri" w:hAnsi="Palatino Linotype" w:cs="Arial"/>
          <w:sz w:val="24"/>
          <w:szCs w:val="24"/>
          <w:lang w:val="es-ES"/>
        </w:rPr>
        <w:t xml:space="preserve"> </w:t>
      </w:r>
      <w:r w:rsidR="00E97A4D">
        <w:rPr>
          <w:rFonts w:ascii="Palatino Linotype" w:eastAsia="Calibri" w:hAnsi="Palatino Linotype" w:cs="Arial"/>
          <w:sz w:val="24"/>
          <w:szCs w:val="24"/>
          <w:lang w:val="es-ES"/>
        </w:rPr>
        <w:t xml:space="preserve">cobro por digitalización que el </w:t>
      </w:r>
      <w:r w:rsidR="00E858D1">
        <w:rPr>
          <w:rFonts w:ascii="Palatino Linotype" w:eastAsia="Calibri" w:hAnsi="Palatino Linotype" w:cs="Arial"/>
          <w:b/>
          <w:sz w:val="24"/>
          <w:szCs w:val="24"/>
          <w:lang w:val="es-ES"/>
        </w:rPr>
        <w:t>Sujeto Obligado</w:t>
      </w:r>
      <w:r w:rsidR="00E858D1">
        <w:rPr>
          <w:rFonts w:ascii="Palatino Linotype" w:eastAsia="Calibri" w:hAnsi="Palatino Linotype" w:cs="Arial"/>
          <w:sz w:val="24"/>
          <w:szCs w:val="24"/>
          <w:lang w:val="es-ES"/>
        </w:rPr>
        <w:t xml:space="preserve"> </w:t>
      </w:r>
      <w:r w:rsidR="0098539C">
        <w:rPr>
          <w:rFonts w:ascii="Palatino Linotype" w:eastAsia="Calibri" w:hAnsi="Palatino Linotype" w:cs="Arial"/>
          <w:sz w:val="24"/>
          <w:szCs w:val="24"/>
          <w:lang w:val="es-ES"/>
        </w:rPr>
        <w:t>realizara</w:t>
      </w:r>
      <w:r w:rsidR="00E97A4D">
        <w:rPr>
          <w:rFonts w:ascii="Palatino Linotype" w:eastAsia="Calibri" w:hAnsi="Palatino Linotype" w:cs="Arial"/>
          <w:sz w:val="24"/>
          <w:szCs w:val="24"/>
          <w:lang w:val="es-ES"/>
        </w:rPr>
        <w:t xml:space="preserve"> a</w:t>
      </w:r>
      <w:r w:rsidR="00E858D1">
        <w:rPr>
          <w:rFonts w:ascii="Palatino Linotype" w:eastAsia="Calibri" w:hAnsi="Palatino Linotype" w:cs="Arial"/>
          <w:sz w:val="24"/>
          <w:szCs w:val="24"/>
          <w:lang w:val="es-ES"/>
        </w:rPr>
        <w:t xml:space="preserve"> </w:t>
      </w:r>
      <w:r w:rsidR="0098539C">
        <w:rPr>
          <w:rFonts w:ascii="Palatino Linotype" w:eastAsia="Calibri" w:hAnsi="Palatino Linotype" w:cs="Arial"/>
          <w:sz w:val="24"/>
          <w:szCs w:val="24"/>
          <w:lang w:val="es-ES"/>
        </w:rPr>
        <w:t>l</w:t>
      </w:r>
      <w:r w:rsidR="00E858D1">
        <w:rPr>
          <w:rFonts w:ascii="Palatino Linotype" w:eastAsia="Calibri" w:hAnsi="Palatino Linotype" w:cs="Arial"/>
          <w:sz w:val="24"/>
          <w:szCs w:val="24"/>
          <w:lang w:val="es-ES"/>
        </w:rPr>
        <w:t>a</w:t>
      </w:r>
      <w:r w:rsidR="00E97A4D" w:rsidRPr="00E858D1">
        <w:rPr>
          <w:rFonts w:ascii="Palatino Linotype" w:eastAsia="Calibri" w:hAnsi="Palatino Linotype" w:cs="Arial"/>
          <w:sz w:val="24"/>
          <w:szCs w:val="24"/>
          <w:lang w:val="es-ES"/>
        </w:rPr>
        <w:t xml:space="preserve"> </w:t>
      </w:r>
      <w:r w:rsidR="00E858D1" w:rsidRPr="00E858D1">
        <w:rPr>
          <w:rFonts w:ascii="Palatino Linotype" w:eastAsia="Calibri" w:hAnsi="Palatino Linotype" w:cs="Arial"/>
          <w:sz w:val="24"/>
          <w:szCs w:val="24"/>
          <w:lang w:val="es-ES"/>
        </w:rPr>
        <w:t>recurrente</w:t>
      </w:r>
      <w:r w:rsidR="00E97A4D">
        <w:rPr>
          <w:rFonts w:ascii="Palatino Linotype" w:eastAsia="Calibri" w:hAnsi="Palatino Linotype" w:cs="Arial"/>
          <w:sz w:val="24"/>
          <w:szCs w:val="24"/>
          <w:lang w:val="es-ES"/>
        </w:rPr>
        <w:t xml:space="preserve"> a efecto de que se le entregue la información.</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DC3467">
      <w:pPr>
        <w:numPr>
          <w:ilvl w:val="0"/>
          <w:numId w:val="1"/>
        </w:numPr>
        <w:spacing w:after="0" w:line="360" w:lineRule="auto"/>
        <w:ind w:left="284" w:hanging="284"/>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DC3467">
      <w:pPr>
        <w:pStyle w:val="Ttulo1"/>
        <w:numPr>
          <w:ilvl w:val="0"/>
          <w:numId w:val="2"/>
        </w:numPr>
        <w:ind w:left="284" w:firstLine="0"/>
        <w:rPr>
          <w:rFonts w:eastAsia="Calibri"/>
          <w:color w:val="auto"/>
          <w:szCs w:val="24"/>
          <w:lang w:val="es-ES"/>
        </w:rPr>
      </w:pPr>
      <w:bookmarkStart w:id="1" w:name="_Toc535844191"/>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45613E" w:rsidRDefault="00E6179D" w:rsidP="00DC3467">
      <w:pPr>
        <w:numPr>
          <w:ilvl w:val="0"/>
          <w:numId w:val="1"/>
        </w:numPr>
        <w:spacing w:after="0" w:line="360" w:lineRule="auto"/>
        <w:ind w:left="284" w:hanging="284"/>
        <w:contextualSpacing/>
        <w:jc w:val="both"/>
        <w:rPr>
          <w:rFonts w:ascii="Palatino Linotype" w:eastAsia="Calibri" w:hAnsi="Palatino Linotype" w:cs="Times New Roman"/>
          <w:sz w:val="24"/>
          <w:szCs w:val="24"/>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w:t>
      </w:r>
      <w:r w:rsidR="000C780A">
        <w:rPr>
          <w:rFonts w:ascii="Palatino Linotype" w:eastAsia="Calibri" w:hAnsi="Palatino Linotype" w:cs="Times New Roman"/>
          <w:sz w:val="24"/>
          <w:szCs w:val="24"/>
        </w:rPr>
        <w:t xml:space="preserve">o constitucional que le asiste a </w:t>
      </w:r>
      <w:r w:rsidRPr="00427B79">
        <w:rPr>
          <w:rFonts w:ascii="Palatino Linotype" w:eastAsia="Calibri" w:hAnsi="Palatino Linotype" w:cs="Times New Roman"/>
          <w:sz w:val="24"/>
          <w:szCs w:val="24"/>
        </w:rPr>
        <w:t>l</w:t>
      </w:r>
      <w:r w:rsidR="000C780A">
        <w:rPr>
          <w:rFonts w:ascii="Palatino Linotype" w:eastAsia="Calibri" w:hAnsi="Palatino Linotype" w:cs="Times New Roman"/>
          <w:sz w:val="24"/>
          <w:szCs w:val="24"/>
        </w:rPr>
        <w:t>a</w:t>
      </w:r>
      <w:r w:rsidRPr="00427B79">
        <w:rPr>
          <w:rFonts w:ascii="Palatino Linotype" w:eastAsia="Calibri" w:hAnsi="Palatino Linotype" w:cs="Times New Roman"/>
          <w:sz w:val="24"/>
          <w:szCs w:val="24"/>
        </w:rPr>
        <w:t xml:space="preserve"> particular, formuló </w:t>
      </w:r>
      <w:r w:rsidR="0098539C">
        <w:rPr>
          <w:rFonts w:ascii="Palatino Linotype" w:eastAsia="Calibri" w:hAnsi="Palatino Linotype" w:cs="Times New Roman"/>
          <w:sz w:val="24"/>
          <w:szCs w:val="24"/>
        </w:rPr>
        <w:t>una serie de</w:t>
      </w:r>
      <w:r w:rsidRPr="00427B79">
        <w:rPr>
          <w:rFonts w:ascii="Palatino Linotype" w:eastAsia="Calibri" w:hAnsi="Palatino Linotype" w:cs="Times New Roman"/>
          <w:sz w:val="24"/>
          <w:szCs w:val="24"/>
        </w:rPr>
        <w:t xml:space="preserve"> solicitu</w:t>
      </w:r>
      <w:r w:rsidR="003E0648">
        <w:rPr>
          <w:rFonts w:ascii="Palatino Linotype" w:eastAsia="Calibri" w:hAnsi="Palatino Linotype" w:cs="Times New Roman"/>
          <w:sz w:val="24"/>
          <w:szCs w:val="24"/>
        </w:rPr>
        <w:t>d</w:t>
      </w:r>
      <w:r w:rsidR="0098539C">
        <w:rPr>
          <w:rFonts w:ascii="Palatino Linotype" w:eastAsia="Calibri" w:hAnsi="Palatino Linotype" w:cs="Times New Roman"/>
          <w:sz w:val="24"/>
          <w:szCs w:val="24"/>
        </w:rPr>
        <w:t>es</w:t>
      </w:r>
      <w:r w:rsidR="003E0648">
        <w:rPr>
          <w:rFonts w:ascii="Palatino Linotype" w:eastAsia="Calibri" w:hAnsi="Palatino Linotype" w:cs="Times New Roman"/>
          <w:sz w:val="24"/>
          <w:szCs w:val="24"/>
        </w:rPr>
        <w:t xml:space="preserve"> de información dirigida</w:t>
      </w:r>
      <w:r w:rsidR="0098539C">
        <w:rPr>
          <w:rFonts w:ascii="Palatino Linotype" w:eastAsia="Calibri" w:hAnsi="Palatino Linotype" w:cs="Times New Roman"/>
          <w:sz w:val="24"/>
          <w:szCs w:val="24"/>
        </w:rPr>
        <w:t>s</w:t>
      </w:r>
      <w:r w:rsidR="003E0648">
        <w:rPr>
          <w:rFonts w:ascii="Palatino Linotype" w:eastAsia="Calibri" w:hAnsi="Palatino Linotype" w:cs="Times New Roman"/>
          <w:sz w:val="24"/>
          <w:szCs w:val="24"/>
        </w:rPr>
        <w:t xml:space="preserve"> hacia</w:t>
      </w:r>
      <w:r w:rsidR="00BB4414">
        <w:rPr>
          <w:rFonts w:ascii="Palatino Linotype" w:eastAsia="Calibri" w:hAnsi="Palatino Linotype" w:cs="Times New Roman"/>
          <w:sz w:val="24"/>
          <w:szCs w:val="24"/>
        </w:rPr>
        <w:t xml:space="preserve"> l</w:t>
      </w:r>
      <w:r w:rsidR="000C780A">
        <w:rPr>
          <w:rFonts w:ascii="Palatino Linotype" w:eastAsia="Calibri" w:hAnsi="Palatino Linotype" w:cs="Times New Roman"/>
          <w:sz w:val="24"/>
          <w:szCs w:val="24"/>
        </w:rPr>
        <w:t>a</w:t>
      </w:r>
      <w:r w:rsidR="009A0D68" w:rsidRPr="009A0D68">
        <w:t xml:space="preserve"> </w:t>
      </w:r>
      <w:r w:rsidR="000C780A">
        <w:rPr>
          <w:rFonts w:ascii="Palatino Linotype" w:eastAsia="Calibri" w:hAnsi="Palatino Linotype" w:cs="Times New Roman"/>
          <w:b/>
          <w:sz w:val="24"/>
          <w:szCs w:val="24"/>
        </w:rPr>
        <w:t>Universidad Politécnica del Valle de Toluca</w:t>
      </w:r>
      <w:r w:rsidR="003C37C6" w:rsidRPr="004A5F86">
        <w:rPr>
          <w:rFonts w:ascii="Palatino Linotype" w:eastAsia="Calibri" w:hAnsi="Palatino Linotype" w:cs="Times New Roman"/>
          <w:b/>
          <w:sz w:val="24"/>
          <w:szCs w:val="24"/>
        </w:rPr>
        <w:t>,</w:t>
      </w:r>
      <w:r w:rsidRPr="00427B79">
        <w:rPr>
          <w:rFonts w:ascii="Palatino Linotype" w:eastAsia="Calibri" w:hAnsi="Palatino Linotype" w:cs="Times New Roman"/>
          <w:sz w:val="24"/>
          <w:szCs w:val="24"/>
        </w:rPr>
        <w:t xml:space="preserve"> en dicha</w:t>
      </w:r>
      <w:r w:rsidR="0098539C">
        <w:rPr>
          <w:rFonts w:ascii="Palatino Linotype" w:eastAsia="Calibri" w:hAnsi="Palatino Linotype" w:cs="Times New Roman"/>
          <w:sz w:val="24"/>
          <w:szCs w:val="24"/>
        </w:rPr>
        <w:t>s</w:t>
      </w:r>
      <w:r w:rsidRPr="00427B79">
        <w:rPr>
          <w:rFonts w:ascii="Palatino Linotype" w:eastAsia="Calibri" w:hAnsi="Palatino Linotype" w:cs="Times New Roman"/>
          <w:sz w:val="24"/>
          <w:szCs w:val="24"/>
        </w:rPr>
        <w:t xml:space="preserve"> solicitud</w:t>
      </w:r>
      <w:r w:rsidR="0098539C">
        <w:rPr>
          <w:rFonts w:ascii="Palatino Linotype" w:eastAsia="Calibri" w:hAnsi="Palatino Linotype" w:cs="Times New Roman"/>
          <w:sz w:val="24"/>
          <w:szCs w:val="24"/>
        </w:rPr>
        <w:t>es planteó lo siguiente:</w:t>
      </w:r>
    </w:p>
    <w:p w:rsidR="00E858D1" w:rsidRDefault="00E858D1" w:rsidP="00E858D1">
      <w:pPr>
        <w:spacing w:before="60" w:after="120"/>
        <w:ind w:left="709" w:right="709"/>
        <w:jc w:val="both"/>
        <w:rPr>
          <w:rFonts w:ascii="Palatino Linotype" w:hAnsi="Palatino Linotype" w:cs="Arial"/>
        </w:rPr>
      </w:pPr>
    </w:p>
    <w:p w:rsidR="00061791" w:rsidRPr="00713D8F" w:rsidRDefault="00061791" w:rsidP="00061791">
      <w:pPr>
        <w:spacing w:before="240" w:line="360" w:lineRule="auto"/>
        <w:ind w:left="426"/>
        <w:jc w:val="both"/>
        <w:rPr>
          <w:rFonts w:ascii="Palatino Linotype" w:hAnsi="Palatino Linotype" w:cs="Arial"/>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1327</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061791" w:rsidRPr="00713D8F" w:rsidRDefault="00061791" w:rsidP="00061791">
      <w:pPr>
        <w:spacing w:before="120" w:after="120" w:line="240" w:lineRule="auto"/>
        <w:ind w:left="426" w:right="567"/>
        <w:jc w:val="both"/>
        <w:rPr>
          <w:rFonts w:ascii="Palatino Linotype" w:eastAsia="Times New Roman" w:hAnsi="Palatino Linotype" w:cs="Times New Roman"/>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A025B4">
        <w:rPr>
          <w:rFonts w:ascii="Palatino Linotype" w:hAnsi="Palatino Linotype"/>
          <w:i/>
          <w:color w:val="000000"/>
          <w:sz w:val="24"/>
          <w:szCs w:val="24"/>
        </w:rPr>
        <w:t>Contratos del personal que laboro y labora en 2018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713D8F">
        <w:rPr>
          <w:rFonts w:ascii="Palatino Linotype" w:eastAsia="Times New Roman" w:hAnsi="Palatino Linotype" w:cs="Times New Roman"/>
          <w:sz w:val="24"/>
          <w:szCs w:val="24"/>
          <w:lang w:val="es-ES_tradnl" w:eastAsia="es-ES"/>
        </w:rPr>
        <w:t>[Sic]</w:t>
      </w:r>
    </w:p>
    <w:p w:rsidR="00061791" w:rsidRDefault="00061791" w:rsidP="00061791">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1326</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061791" w:rsidRPr="00A025B4" w:rsidRDefault="00061791" w:rsidP="00061791">
      <w:pPr>
        <w:spacing w:before="120" w:after="120" w:line="240" w:lineRule="auto"/>
        <w:ind w:left="426" w:right="567"/>
        <w:jc w:val="both"/>
        <w:rPr>
          <w:rFonts w:ascii="Palatino Linotype" w:eastAsia="Times New Roman" w:hAnsi="Palatino Linotype" w:cs="Times New Roman"/>
          <w:i/>
          <w:sz w:val="24"/>
          <w:szCs w:val="24"/>
          <w:lang w:val="es-ES_tradnl" w:eastAsia="es-ES"/>
        </w:rPr>
      </w:pPr>
      <w:r w:rsidRPr="00A025B4">
        <w:rPr>
          <w:rFonts w:ascii="Palatino Linotype" w:eastAsia="Times New Roman" w:hAnsi="Palatino Linotype" w:cs="Times New Roman"/>
          <w:i/>
          <w:sz w:val="24"/>
          <w:szCs w:val="24"/>
          <w:lang w:val="es-ES_tradnl" w:eastAsia="es-ES"/>
        </w:rPr>
        <w:t>“Contratos del personal que laboro en 2017 dentro de la institución, señalando cual fue el medio de pago efectuado (transferencia bancaria, cheque u otro)” [Sic]</w:t>
      </w:r>
    </w:p>
    <w:p w:rsidR="00061791" w:rsidRDefault="00061791" w:rsidP="00061791">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1325</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061791" w:rsidRPr="00713D8F" w:rsidRDefault="00061791" w:rsidP="00061791">
      <w:pPr>
        <w:spacing w:before="120" w:after="120" w:line="240" w:lineRule="auto"/>
        <w:ind w:left="426"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lastRenderedPageBreak/>
        <w:t>“</w:t>
      </w:r>
      <w:r w:rsidRPr="00A025B4">
        <w:rPr>
          <w:rFonts w:ascii="Palatino Linotype" w:eastAsia="Times New Roman" w:hAnsi="Palatino Linotype" w:cs="Times New Roman"/>
          <w:i/>
          <w:sz w:val="24"/>
          <w:szCs w:val="24"/>
          <w:lang w:val="es-ES_tradnl" w:eastAsia="es-ES"/>
        </w:rPr>
        <w:t>Contratos del personal que laboro en 2016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061791" w:rsidRDefault="00061791" w:rsidP="00061791">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1324</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061791" w:rsidRPr="00713D8F" w:rsidRDefault="00061791" w:rsidP="00061791">
      <w:pPr>
        <w:spacing w:before="120" w:after="120" w:line="240" w:lineRule="auto"/>
        <w:ind w:left="426"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A025B4">
        <w:rPr>
          <w:rFonts w:ascii="Palatino Linotype" w:eastAsia="Times New Roman" w:hAnsi="Palatino Linotype" w:cs="Times New Roman"/>
          <w:i/>
          <w:sz w:val="24"/>
          <w:szCs w:val="24"/>
          <w:lang w:val="es-ES_tradnl" w:eastAsia="es-ES"/>
        </w:rPr>
        <w:t>Contratos del personal que laboro en 2015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061791" w:rsidRDefault="00061791" w:rsidP="00061791">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1323</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061791" w:rsidRPr="00A025B4" w:rsidRDefault="00061791" w:rsidP="00061791">
      <w:pPr>
        <w:spacing w:before="120" w:after="120" w:line="240" w:lineRule="auto"/>
        <w:ind w:left="426"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A025B4">
        <w:rPr>
          <w:rFonts w:ascii="Palatino Linotype" w:eastAsia="Times New Roman" w:hAnsi="Palatino Linotype" w:cs="Times New Roman"/>
          <w:i/>
          <w:sz w:val="24"/>
          <w:szCs w:val="24"/>
          <w:lang w:val="es-ES_tradnl" w:eastAsia="es-ES"/>
        </w:rPr>
        <w:t>Contratos del personal que laboro en 2014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061791" w:rsidRDefault="00061791" w:rsidP="00061791">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1322</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061791" w:rsidRPr="00A025B4" w:rsidRDefault="00061791" w:rsidP="00061791">
      <w:pPr>
        <w:spacing w:before="120" w:after="120" w:line="240" w:lineRule="auto"/>
        <w:ind w:left="426"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A025B4">
        <w:rPr>
          <w:rFonts w:ascii="Palatino Linotype" w:eastAsia="Times New Roman" w:hAnsi="Palatino Linotype" w:cs="Times New Roman"/>
          <w:i/>
          <w:sz w:val="24"/>
          <w:szCs w:val="24"/>
          <w:lang w:val="es-ES_tradnl" w:eastAsia="es-ES"/>
        </w:rPr>
        <w:t>Contratos del personal que laboro en 2013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061791" w:rsidRDefault="00061791" w:rsidP="00061791">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1320</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061791" w:rsidRPr="00A025B4" w:rsidRDefault="00061791" w:rsidP="00061791">
      <w:pPr>
        <w:spacing w:before="120" w:after="120" w:line="240" w:lineRule="auto"/>
        <w:ind w:left="426"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A025B4">
        <w:rPr>
          <w:rFonts w:ascii="Palatino Linotype" w:eastAsia="Times New Roman" w:hAnsi="Palatino Linotype" w:cs="Times New Roman"/>
          <w:i/>
          <w:sz w:val="24"/>
          <w:szCs w:val="24"/>
          <w:lang w:val="es-ES_tradnl" w:eastAsia="es-ES"/>
        </w:rPr>
        <w:t>Contratos del personal que laboro en 2011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061791" w:rsidRDefault="00061791" w:rsidP="00061791">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1319</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061791" w:rsidRPr="00A025B4" w:rsidRDefault="00061791" w:rsidP="00061791">
      <w:pPr>
        <w:spacing w:before="120" w:after="120" w:line="240" w:lineRule="auto"/>
        <w:ind w:left="426"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A025B4">
        <w:rPr>
          <w:rFonts w:ascii="Palatino Linotype" w:eastAsia="Times New Roman" w:hAnsi="Palatino Linotype" w:cs="Times New Roman"/>
          <w:i/>
          <w:sz w:val="24"/>
          <w:szCs w:val="24"/>
          <w:lang w:val="es-ES_tradnl" w:eastAsia="es-ES"/>
        </w:rPr>
        <w:t>Contratos del personal que laboro en 2010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061791" w:rsidRDefault="00061791" w:rsidP="00061791">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1318</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061791" w:rsidRPr="00A025B4" w:rsidRDefault="00061791" w:rsidP="00061791">
      <w:pPr>
        <w:spacing w:before="120" w:after="120" w:line="240" w:lineRule="auto"/>
        <w:ind w:left="426"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A025B4">
        <w:rPr>
          <w:rFonts w:ascii="Palatino Linotype" w:eastAsia="Times New Roman" w:hAnsi="Palatino Linotype" w:cs="Times New Roman"/>
          <w:i/>
          <w:sz w:val="24"/>
          <w:szCs w:val="24"/>
          <w:lang w:val="es-ES_tradnl" w:eastAsia="es-ES"/>
        </w:rPr>
        <w:t>Contratos del personal que laboro en 2009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061791" w:rsidRDefault="00061791" w:rsidP="00061791">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1317</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061791" w:rsidRPr="00A025B4" w:rsidRDefault="00061791" w:rsidP="00061791">
      <w:pPr>
        <w:spacing w:before="120" w:after="120" w:line="240" w:lineRule="auto"/>
        <w:ind w:left="426"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lastRenderedPageBreak/>
        <w:t>“</w:t>
      </w:r>
      <w:r w:rsidRPr="00A025B4">
        <w:rPr>
          <w:rFonts w:ascii="Palatino Linotype" w:eastAsia="Times New Roman" w:hAnsi="Palatino Linotype" w:cs="Times New Roman"/>
          <w:i/>
          <w:sz w:val="24"/>
          <w:szCs w:val="24"/>
          <w:lang w:val="es-ES_tradnl" w:eastAsia="es-ES"/>
        </w:rPr>
        <w:t>Contratos del personal que laboro en 2008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061791" w:rsidRDefault="00061791" w:rsidP="00061791">
      <w:pPr>
        <w:spacing w:before="240" w:line="360" w:lineRule="auto"/>
        <w:ind w:left="426"/>
        <w:jc w:val="both"/>
        <w:rPr>
          <w:rFonts w:ascii="Palatino Linotype" w:hAnsi="Palatino Linotype" w:cs="Arial"/>
          <w:b/>
          <w:sz w:val="24"/>
        </w:rPr>
      </w:pPr>
      <w:r w:rsidRPr="00713D8F">
        <w:rPr>
          <w:rFonts w:ascii="Palatino Linotype" w:hAnsi="Palatino Linotype" w:cs="Arial"/>
          <w:b/>
          <w:sz w:val="24"/>
          <w:szCs w:val="24"/>
        </w:rPr>
        <w:t xml:space="preserve">Solicitud de información </w:t>
      </w:r>
      <w:r w:rsidRPr="0069045D">
        <w:rPr>
          <w:rFonts w:ascii="Palatino Linotype" w:hAnsi="Palatino Linotype" w:cs="Arial"/>
          <w:b/>
          <w:sz w:val="24"/>
        </w:rPr>
        <w:t>0</w:t>
      </w:r>
      <w:r>
        <w:rPr>
          <w:rFonts w:ascii="Palatino Linotype" w:hAnsi="Palatino Linotype" w:cs="Arial"/>
          <w:b/>
          <w:sz w:val="24"/>
        </w:rPr>
        <w:t>1316</w:t>
      </w:r>
      <w:r w:rsidRPr="00713D8F">
        <w:rPr>
          <w:rFonts w:ascii="Palatino Linotype" w:hAnsi="Palatino Linotype" w:cs="Arial"/>
          <w:b/>
          <w:bCs/>
          <w:sz w:val="24"/>
          <w:lang w:eastAsia="es-MX"/>
        </w:rPr>
        <w:t>/</w:t>
      </w:r>
      <w:r>
        <w:rPr>
          <w:rFonts w:ascii="Palatino Linotype" w:hAnsi="Palatino Linotype" w:cs="Arial"/>
          <w:b/>
          <w:bCs/>
          <w:sz w:val="24"/>
          <w:lang w:eastAsia="es-MX"/>
        </w:rPr>
        <w:t>UPVT</w:t>
      </w:r>
      <w:r w:rsidRPr="00713D8F">
        <w:rPr>
          <w:rFonts w:ascii="Palatino Linotype" w:hAnsi="Palatino Linotype" w:cs="Arial"/>
          <w:b/>
          <w:bCs/>
          <w:sz w:val="24"/>
          <w:lang w:eastAsia="es-MX"/>
        </w:rPr>
        <w:t>/IP/201</w:t>
      </w:r>
      <w:r>
        <w:rPr>
          <w:rFonts w:ascii="Palatino Linotype" w:hAnsi="Palatino Linotype" w:cs="Arial"/>
          <w:b/>
          <w:bCs/>
          <w:sz w:val="24"/>
          <w:lang w:eastAsia="es-MX"/>
        </w:rPr>
        <w:t>8</w:t>
      </w:r>
      <w:r>
        <w:rPr>
          <w:rFonts w:ascii="Palatino Linotype" w:hAnsi="Palatino Linotype" w:cs="Arial"/>
          <w:b/>
          <w:sz w:val="24"/>
        </w:rPr>
        <w:t>.</w:t>
      </w:r>
    </w:p>
    <w:p w:rsidR="00061791" w:rsidRPr="00A025B4" w:rsidRDefault="00061791" w:rsidP="00061791">
      <w:pPr>
        <w:spacing w:before="120" w:after="240" w:line="240" w:lineRule="auto"/>
        <w:ind w:left="426" w:right="567"/>
        <w:jc w:val="both"/>
        <w:rPr>
          <w:rFonts w:ascii="Palatino Linotype" w:eastAsia="Times New Roman" w:hAnsi="Palatino Linotype" w:cs="Times New Roman"/>
          <w:i/>
          <w:sz w:val="24"/>
          <w:szCs w:val="24"/>
          <w:lang w:val="es-ES_tradnl" w:eastAsia="es-ES"/>
        </w:rPr>
      </w:pPr>
      <w:r w:rsidRPr="00713D8F">
        <w:rPr>
          <w:rFonts w:ascii="Palatino Linotype" w:eastAsia="Times New Roman" w:hAnsi="Palatino Linotype" w:cs="Times New Roman"/>
          <w:i/>
          <w:sz w:val="24"/>
          <w:szCs w:val="24"/>
          <w:lang w:val="es-ES_tradnl" w:eastAsia="es-ES"/>
        </w:rPr>
        <w:t>“</w:t>
      </w:r>
      <w:r w:rsidRPr="00A025B4">
        <w:rPr>
          <w:rFonts w:ascii="Palatino Linotype" w:eastAsia="Times New Roman" w:hAnsi="Palatino Linotype" w:cs="Times New Roman"/>
          <w:i/>
          <w:sz w:val="24"/>
          <w:szCs w:val="24"/>
          <w:lang w:val="es-ES_tradnl" w:eastAsia="es-ES"/>
        </w:rPr>
        <w:t>Contratos del personal que laboro en 2007 dentro de la institución, señalando cual fue el medio de pago efectuado (transferencia bancaria, cheque u otro)</w:t>
      </w:r>
      <w:r w:rsidRPr="00713D8F">
        <w:rPr>
          <w:rFonts w:ascii="Palatino Linotype" w:eastAsia="Times New Roman" w:hAnsi="Palatino Linotype" w:cs="Times New Roman"/>
          <w:i/>
          <w:sz w:val="24"/>
          <w:szCs w:val="24"/>
          <w:lang w:val="es-ES_tradnl" w:eastAsia="es-ES"/>
        </w:rPr>
        <w:t xml:space="preserve">” </w:t>
      </w:r>
      <w:r w:rsidRPr="00A025B4">
        <w:rPr>
          <w:rFonts w:ascii="Palatino Linotype" w:eastAsia="Times New Roman" w:hAnsi="Palatino Linotype" w:cs="Times New Roman"/>
          <w:i/>
          <w:sz w:val="24"/>
          <w:szCs w:val="24"/>
          <w:lang w:val="es-ES_tradnl" w:eastAsia="es-ES"/>
        </w:rPr>
        <w:t>[Sic]</w:t>
      </w:r>
    </w:p>
    <w:p w:rsidR="00061791" w:rsidRDefault="00061791" w:rsidP="00E858D1">
      <w:pPr>
        <w:spacing w:before="60" w:after="120"/>
        <w:ind w:left="709" w:right="709"/>
        <w:jc w:val="both"/>
        <w:rPr>
          <w:rFonts w:ascii="Palatino Linotype" w:hAnsi="Palatino Linotype" w:cs="Arial"/>
        </w:rPr>
      </w:pPr>
    </w:p>
    <w:p w:rsidR="002937C6" w:rsidRPr="00061791" w:rsidRDefault="00D7428E" w:rsidP="00061791">
      <w:pPr>
        <w:numPr>
          <w:ilvl w:val="0"/>
          <w:numId w:val="1"/>
        </w:numPr>
        <w:spacing w:before="240" w:after="240" w:line="360" w:lineRule="auto"/>
        <w:ind w:left="284" w:right="49" w:hanging="284"/>
        <w:contextualSpacing/>
        <w:jc w:val="both"/>
        <w:rPr>
          <w:rFonts w:ascii="Palatino Linotype" w:eastAsia="Times New Roman" w:hAnsi="Palatino Linotype" w:cs="Arial"/>
          <w:i/>
          <w:sz w:val="24"/>
        </w:rPr>
      </w:pPr>
      <w:r>
        <w:rPr>
          <w:rFonts w:ascii="Palatino Linotype" w:eastAsia="Calibri" w:hAnsi="Palatino Linotype" w:cs="Arial"/>
          <w:sz w:val="24"/>
          <w:szCs w:val="24"/>
        </w:rPr>
        <w:t xml:space="preserve">En ese contexto, </w:t>
      </w:r>
      <w:r w:rsidR="00061791">
        <w:rPr>
          <w:rFonts w:ascii="Palatino Linotype" w:eastAsia="Calibri" w:hAnsi="Palatino Linotype" w:cs="Arial"/>
          <w:sz w:val="24"/>
          <w:szCs w:val="24"/>
        </w:rPr>
        <w:t>dentro del estudio de la resolución de mérito se señaló lo siguiente:</w:t>
      </w:r>
    </w:p>
    <w:p w:rsidR="00061791" w:rsidRPr="00061791" w:rsidRDefault="00061791" w:rsidP="00061791">
      <w:pPr>
        <w:pStyle w:val="Prrafodelista"/>
        <w:autoSpaceDE w:val="0"/>
        <w:autoSpaceDN w:val="0"/>
        <w:adjustRightInd w:val="0"/>
        <w:spacing w:before="240" w:line="360" w:lineRule="auto"/>
        <w:ind w:left="709" w:right="616"/>
        <w:jc w:val="both"/>
        <w:rPr>
          <w:rFonts w:ascii="Palatino Linotype" w:hAnsi="Palatino Linotype" w:cs="Arial"/>
          <w:i/>
          <w:color w:val="000000" w:themeColor="text1"/>
          <w:sz w:val="24"/>
        </w:rPr>
      </w:pPr>
      <w:r w:rsidRPr="00061791">
        <w:rPr>
          <w:rFonts w:ascii="Palatino Linotype" w:hAnsi="Palatino Linotype" w:cs="Arial"/>
          <w:i/>
          <w:color w:val="000000" w:themeColor="text1"/>
          <w:sz w:val="24"/>
        </w:rPr>
        <w:t xml:space="preserve">“…se advierte que cuando la información solicitada obra en más de 20 (veinte) hojas, y que no corresponde a información común o específica que los Sujetos Obligados deben poner a disposición del público; además, si la solicitud de información fue atendida debidamente y el </w:t>
      </w:r>
      <w:r w:rsidRPr="00061791">
        <w:rPr>
          <w:rFonts w:ascii="Palatino Linotype" w:hAnsi="Palatino Linotype" w:cs="Arial"/>
          <w:b/>
          <w:i/>
          <w:color w:val="000000" w:themeColor="text1"/>
          <w:sz w:val="24"/>
        </w:rPr>
        <w:t>Sujeto Obligado</w:t>
      </w:r>
      <w:r w:rsidRPr="00061791">
        <w:rPr>
          <w:rFonts w:ascii="Palatino Linotype" w:hAnsi="Palatino Linotype" w:cs="Arial"/>
          <w:i/>
          <w:color w:val="000000" w:themeColor="text1"/>
          <w:sz w:val="24"/>
        </w:rPr>
        <w:t xml:space="preserve"> manifiesta no poseer la información en forma digital, será procedente requerir el pago por la digitalización conforme a las disposiciones legales aplicables.  </w:t>
      </w:r>
    </w:p>
    <w:p w:rsidR="00061791" w:rsidRPr="00061791" w:rsidRDefault="00061791" w:rsidP="00061791">
      <w:pPr>
        <w:pStyle w:val="Prrafodelista"/>
        <w:autoSpaceDE w:val="0"/>
        <w:autoSpaceDN w:val="0"/>
        <w:adjustRightInd w:val="0"/>
        <w:spacing w:before="240" w:line="360" w:lineRule="auto"/>
        <w:ind w:left="709" w:right="616"/>
        <w:jc w:val="both"/>
        <w:rPr>
          <w:rFonts w:ascii="Palatino Linotype" w:hAnsi="Palatino Linotype" w:cs="Arial"/>
          <w:i/>
          <w:color w:val="000000" w:themeColor="text1"/>
          <w:sz w:val="24"/>
        </w:rPr>
      </w:pPr>
      <w:r w:rsidRPr="00061791">
        <w:rPr>
          <w:rFonts w:ascii="Palatino Linotype" w:hAnsi="Palatino Linotype" w:cs="Arial"/>
          <w:i/>
          <w:color w:val="000000" w:themeColor="text1"/>
          <w:sz w:val="24"/>
        </w:rPr>
        <w:t xml:space="preserve">Bajo ese tenor, si la </w:t>
      </w:r>
      <w:r w:rsidRPr="00061791">
        <w:rPr>
          <w:rFonts w:ascii="Palatino Linotype" w:hAnsi="Palatino Linotype" w:cs="Arial"/>
          <w:b/>
          <w:i/>
          <w:color w:val="000000" w:themeColor="text1"/>
          <w:sz w:val="24"/>
        </w:rPr>
        <w:t>Recurrente</w:t>
      </w:r>
      <w:r w:rsidRPr="00061791">
        <w:rPr>
          <w:rFonts w:ascii="Palatino Linotype" w:hAnsi="Palatino Linotype" w:cs="Arial"/>
          <w:i/>
          <w:color w:val="000000" w:themeColor="text1"/>
          <w:sz w:val="24"/>
        </w:rPr>
        <w:t xml:space="preserve"> solicita los contratos del personas que labora y laboró desde el año 2007 al 2018 (con excepción del año 2012), y el </w:t>
      </w:r>
      <w:r w:rsidRPr="00061791">
        <w:rPr>
          <w:rFonts w:ascii="Palatino Linotype" w:hAnsi="Palatino Linotype" w:cs="Arial"/>
          <w:b/>
          <w:i/>
          <w:color w:val="000000" w:themeColor="text1"/>
          <w:sz w:val="24"/>
        </w:rPr>
        <w:t>Sujeto Obligado</w:t>
      </w:r>
      <w:r w:rsidRPr="00061791">
        <w:rPr>
          <w:rFonts w:ascii="Palatino Linotype" w:hAnsi="Palatino Linotype" w:cs="Arial"/>
          <w:i/>
          <w:color w:val="000000" w:themeColor="text1"/>
          <w:sz w:val="24"/>
        </w:rPr>
        <w:t xml:space="preserve"> manifiesta poseer dicha información pero solo de manera física y, además consiste en 12,078 fojas, bajo la fundamentación legal antes invocada, resulta procedente que la información solicitada genere un costo por su digitalización; toda vez que, el </w:t>
      </w:r>
      <w:r w:rsidRPr="00061791">
        <w:rPr>
          <w:rFonts w:ascii="Palatino Linotype" w:hAnsi="Palatino Linotype" w:cs="Arial"/>
          <w:b/>
          <w:i/>
          <w:color w:val="000000" w:themeColor="text1"/>
          <w:sz w:val="24"/>
        </w:rPr>
        <w:t>Sujeto Obligado</w:t>
      </w:r>
      <w:r w:rsidRPr="00061791">
        <w:rPr>
          <w:rFonts w:ascii="Palatino Linotype" w:hAnsi="Palatino Linotype" w:cs="Arial"/>
          <w:i/>
          <w:color w:val="000000" w:themeColor="text1"/>
          <w:sz w:val="24"/>
        </w:rPr>
        <w:t xml:space="preserve"> atendió debidamente la solicitud, además de que la información solicitada excede la cantidad de 20 (veinte) hojas y, no es información de transparencia de oficio que lo constriña </w:t>
      </w:r>
      <w:r w:rsidRPr="00061791">
        <w:rPr>
          <w:rFonts w:ascii="Palatino Linotype" w:hAnsi="Palatino Linotype" w:cs="Arial"/>
          <w:i/>
          <w:color w:val="000000" w:themeColor="text1"/>
          <w:sz w:val="24"/>
        </w:rPr>
        <w:lastRenderedPageBreak/>
        <w:t xml:space="preserve">a poseer la información digitalizada; de ahí que, requerir el pago por la digitalización de la información solicitada no </w:t>
      </w:r>
      <w:r w:rsidRPr="00061791">
        <w:rPr>
          <w:rFonts w:ascii="Palatino Linotype" w:hAnsi="Palatino Linotype" w:cs="Arial"/>
          <w:i/>
          <w:sz w:val="24"/>
        </w:rPr>
        <w:t xml:space="preserve">viola los derechos de la </w:t>
      </w:r>
      <w:r w:rsidRPr="00061791">
        <w:rPr>
          <w:rFonts w:ascii="Palatino Linotype" w:hAnsi="Palatino Linotype" w:cs="Arial"/>
          <w:b/>
          <w:i/>
          <w:sz w:val="24"/>
        </w:rPr>
        <w:t>Recurrente</w:t>
      </w:r>
      <w:r w:rsidRPr="00061791">
        <w:rPr>
          <w:rFonts w:ascii="Palatino Linotype" w:hAnsi="Palatino Linotype" w:cs="Arial"/>
          <w:i/>
          <w:sz w:val="24"/>
        </w:rPr>
        <w:t xml:space="preserve">, toda vez que el </w:t>
      </w:r>
      <w:r w:rsidRPr="00061791">
        <w:rPr>
          <w:rFonts w:ascii="Palatino Linotype" w:hAnsi="Palatino Linotype" w:cs="Arial"/>
          <w:b/>
          <w:i/>
          <w:sz w:val="24"/>
        </w:rPr>
        <w:t>Sujeto Obligado</w:t>
      </w:r>
      <w:r w:rsidRPr="00061791">
        <w:rPr>
          <w:rFonts w:ascii="Palatino Linotype" w:hAnsi="Palatino Linotype" w:cs="Arial"/>
          <w:i/>
          <w:sz w:val="24"/>
        </w:rPr>
        <w:t xml:space="preserve"> fundamentó y motivo dicho cobro.</w:t>
      </w:r>
    </w:p>
    <w:p w:rsidR="00061791" w:rsidRPr="00061791" w:rsidRDefault="00061791" w:rsidP="00061791">
      <w:pPr>
        <w:spacing w:before="240" w:after="240" w:line="360" w:lineRule="auto"/>
        <w:ind w:left="709" w:right="616"/>
        <w:contextualSpacing/>
        <w:jc w:val="both"/>
        <w:rPr>
          <w:rFonts w:ascii="Palatino Linotype" w:eastAsia="Times New Roman" w:hAnsi="Palatino Linotype" w:cs="Arial"/>
          <w:i/>
          <w:sz w:val="28"/>
        </w:rPr>
      </w:pPr>
      <w:r w:rsidRPr="00061791">
        <w:rPr>
          <w:rFonts w:ascii="Palatino Linotype" w:hAnsi="Palatino Linotype" w:cs="Arial"/>
          <w:i/>
          <w:color w:val="000000" w:themeColor="text1"/>
          <w:sz w:val="24"/>
        </w:rPr>
        <w:t xml:space="preserve">Por lo anteriormente, este órgano colegiado considera que la determinación que el </w:t>
      </w:r>
      <w:r w:rsidRPr="00061791">
        <w:rPr>
          <w:rFonts w:ascii="Palatino Linotype" w:hAnsi="Palatino Linotype" w:cs="Arial"/>
          <w:b/>
          <w:i/>
          <w:color w:val="000000" w:themeColor="text1"/>
          <w:sz w:val="24"/>
        </w:rPr>
        <w:t>Sujeto Obligado</w:t>
      </w:r>
      <w:r w:rsidRPr="00061791">
        <w:rPr>
          <w:rFonts w:ascii="Palatino Linotype" w:hAnsi="Palatino Linotype" w:cs="Arial"/>
          <w:i/>
          <w:color w:val="000000" w:themeColor="text1"/>
          <w:sz w:val="24"/>
        </w:rPr>
        <w:t xml:space="preserve"> hizo para cobrar por la digitalización de la información solicitada se encuentra apegada a derecho; máxime, que lo hizo basándose en lo contemplando en el artículo 73, fracción VI del Código Financiero del Estado de México…”</w:t>
      </w:r>
    </w:p>
    <w:p w:rsidR="00061791" w:rsidRPr="00061791" w:rsidRDefault="00061791" w:rsidP="00061791">
      <w:pPr>
        <w:spacing w:before="240" w:after="240" w:line="360" w:lineRule="auto"/>
        <w:ind w:left="284" w:right="333"/>
        <w:contextualSpacing/>
        <w:jc w:val="both"/>
        <w:rPr>
          <w:rFonts w:ascii="Palatino Linotype" w:eastAsia="Times New Roman" w:hAnsi="Palatino Linotype" w:cs="Arial"/>
          <w:sz w:val="24"/>
        </w:rPr>
      </w:pPr>
    </w:p>
    <w:p w:rsidR="00C602B8" w:rsidRPr="00C602B8" w:rsidRDefault="00D7428E" w:rsidP="00DC3467">
      <w:pPr>
        <w:pStyle w:val="Prrafodelista"/>
        <w:numPr>
          <w:ilvl w:val="0"/>
          <w:numId w:val="1"/>
        </w:numPr>
        <w:spacing w:before="240" w:after="240" w:line="360" w:lineRule="auto"/>
        <w:ind w:left="284" w:right="333" w:hanging="284"/>
        <w:jc w:val="both"/>
        <w:rPr>
          <w:rFonts w:ascii="Palatino Linotype" w:eastAsia="Times New Roman" w:hAnsi="Palatino Linotype" w:cs="Arial"/>
          <w:i/>
          <w:sz w:val="24"/>
        </w:rPr>
      </w:pPr>
      <w:r>
        <w:rPr>
          <w:rFonts w:ascii="Palatino Linotype" w:eastAsia="Times New Roman" w:hAnsi="Palatino Linotype" w:cs="Arial"/>
          <w:sz w:val="24"/>
        </w:rPr>
        <w:t>Es decir, la respuesta de solicitar el pago por digitalización de la información, se tuvo como aceptada y procedente.</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5844192"/>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DC3467">
      <w:pPr>
        <w:pStyle w:val="Prrafodelista"/>
        <w:numPr>
          <w:ilvl w:val="0"/>
          <w:numId w:val="1"/>
        </w:numPr>
        <w:spacing w:after="0" w:line="360" w:lineRule="auto"/>
        <w:ind w:left="284" w:hanging="284"/>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w:t>
      </w:r>
      <w:r w:rsidRPr="00427B79">
        <w:rPr>
          <w:rFonts w:ascii="Palatino Linotype" w:eastAsia="Times New Roman" w:hAnsi="Palatino Linotype" w:cs="Arial"/>
          <w:sz w:val="24"/>
          <w:szCs w:val="24"/>
        </w:rPr>
        <w:lastRenderedPageBreak/>
        <w:t>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DC3467">
      <w:pPr>
        <w:pStyle w:val="Prrafodelista"/>
        <w:numPr>
          <w:ilvl w:val="0"/>
          <w:numId w:val="1"/>
        </w:numPr>
        <w:spacing w:before="240" w:after="240" w:line="360" w:lineRule="auto"/>
        <w:ind w:left="284" w:hanging="284"/>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Default="0003648B" w:rsidP="00D7428E">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w:t>
      </w:r>
      <w:r w:rsidR="001553F5">
        <w:rPr>
          <w:rFonts w:ascii="Palatino Linotype" w:hAnsi="Palatino Linotype" w:cs="Arial"/>
          <w:bCs/>
          <w:color w:val="000000" w:themeColor="text1"/>
          <w:sz w:val="24"/>
          <w:szCs w:val="24"/>
        </w:rPr>
        <w:t>resulta</w:t>
      </w:r>
      <w:r w:rsidRPr="00427B79">
        <w:rPr>
          <w:rFonts w:ascii="Palatino Linotype" w:hAnsi="Palatino Linotype" w:cs="Arial"/>
          <w:bCs/>
          <w:color w:val="000000" w:themeColor="text1"/>
          <w:sz w:val="24"/>
          <w:szCs w:val="24"/>
        </w:rPr>
        <w:t xml:space="preserve"> suficiente con que una persona realice una solicitud de información para que la autoridad la atienda y entregue lo solicitado, salvo excepciones limitadas.</w:t>
      </w:r>
    </w:p>
    <w:p w:rsidR="00D7428E" w:rsidRPr="00427B79" w:rsidRDefault="00D7428E" w:rsidP="00D7428E">
      <w:pPr>
        <w:pStyle w:val="Prrafodelista"/>
        <w:autoSpaceDE w:val="0"/>
        <w:autoSpaceDN w:val="0"/>
        <w:adjustRightInd w:val="0"/>
        <w:spacing w:before="240" w:after="240" w:line="360" w:lineRule="auto"/>
        <w:ind w:left="851" w:right="616"/>
        <w:jc w:val="both"/>
        <w:rPr>
          <w:rFonts w:ascii="Palatino Linotype" w:hAnsi="Palatino Linotype" w:cs="Arial"/>
          <w:bCs/>
          <w:color w:val="000000" w:themeColor="text1"/>
          <w:sz w:val="24"/>
          <w:szCs w:val="24"/>
        </w:rPr>
      </w:pPr>
    </w:p>
    <w:p w:rsidR="0003648B" w:rsidRDefault="0003648B" w:rsidP="00D7428E">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D7428E" w:rsidRPr="00D7428E" w:rsidRDefault="00D7428E" w:rsidP="00D7428E">
      <w:pPr>
        <w:pStyle w:val="Prrafodelista"/>
        <w:rPr>
          <w:rFonts w:ascii="Palatino Linotype" w:hAnsi="Palatino Linotype" w:cs="Arial"/>
          <w:bCs/>
          <w:color w:val="000000" w:themeColor="text1"/>
          <w:sz w:val="24"/>
          <w:szCs w:val="24"/>
        </w:rPr>
      </w:pPr>
    </w:p>
    <w:p w:rsidR="0003648B" w:rsidRDefault="0003648B" w:rsidP="00D7428E">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BA67DA">
        <w:rPr>
          <w:rFonts w:ascii="Palatino Linotype" w:hAnsi="Palatino Linotype" w:cs="Arial"/>
          <w:bCs/>
          <w:color w:val="000000" w:themeColor="text1"/>
          <w:sz w:val="24"/>
          <w:szCs w:val="24"/>
          <w:u w:val="single"/>
        </w:rPr>
        <w:t>Otorga a todos los documentos en posesión de las autoridades la calidad de públicos</w:t>
      </w:r>
      <w:r w:rsidRPr="00427B79">
        <w:rPr>
          <w:rFonts w:ascii="Palatino Linotype" w:hAnsi="Palatino Linotype" w:cs="Arial"/>
          <w:bCs/>
          <w:color w:val="000000" w:themeColor="text1"/>
          <w:sz w:val="24"/>
          <w:szCs w:val="24"/>
        </w:rPr>
        <w:t xml:space="preserve"> y únicamente pueden ser reservados temporalmente por razones de interés público y en los términos expresamente señalados en la ley.</w:t>
      </w:r>
    </w:p>
    <w:p w:rsidR="000D1DDF" w:rsidRPr="000D1DDF" w:rsidRDefault="000D1DDF" w:rsidP="000D1DDF">
      <w:pPr>
        <w:pStyle w:val="Prrafodelista"/>
        <w:rPr>
          <w:rFonts w:ascii="Palatino Linotype" w:hAnsi="Palatino Linotype" w:cs="Arial"/>
          <w:bCs/>
          <w:color w:val="000000" w:themeColor="text1"/>
          <w:sz w:val="24"/>
          <w:szCs w:val="24"/>
        </w:rPr>
      </w:pPr>
    </w:p>
    <w:p w:rsidR="0003648B" w:rsidRDefault="0003648B" w:rsidP="000D1DDF">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 xml:space="preserve">Este derecho se rige por el principio de </w:t>
      </w:r>
      <w:r w:rsidRPr="00BA67DA">
        <w:rPr>
          <w:rFonts w:ascii="Palatino Linotype" w:hAnsi="Palatino Linotype" w:cs="Arial"/>
          <w:b/>
          <w:bCs/>
          <w:color w:val="000000" w:themeColor="text1"/>
          <w:sz w:val="24"/>
          <w:szCs w:val="24"/>
        </w:rPr>
        <w:t>máxima publicidad</w:t>
      </w:r>
      <w:r w:rsidR="000D1DDF">
        <w:rPr>
          <w:rFonts w:ascii="Palatino Linotype" w:hAnsi="Palatino Linotype" w:cs="Arial"/>
          <w:b/>
          <w:bCs/>
          <w:color w:val="000000" w:themeColor="text1"/>
          <w:sz w:val="24"/>
          <w:szCs w:val="24"/>
        </w:rPr>
        <w:t>;</w:t>
      </w:r>
      <w:r w:rsidRPr="00427B79">
        <w:rPr>
          <w:rFonts w:ascii="Palatino Linotype" w:hAnsi="Palatino Linotype" w:cs="Arial"/>
          <w:bCs/>
          <w:color w:val="000000" w:themeColor="text1"/>
          <w:sz w:val="24"/>
          <w:szCs w:val="24"/>
        </w:rPr>
        <w:t xml:space="preserve"> es decir, la información que generan, administren o posean los organismos públicos son documentos de acceso a cualquier persona y para su restricción debe existir un bien jurídico mayor que proteger.</w:t>
      </w:r>
    </w:p>
    <w:p w:rsidR="000D1DDF" w:rsidRPr="000D1DDF" w:rsidRDefault="000D1DDF" w:rsidP="000D1DDF">
      <w:pPr>
        <w:pStyle w:val="Prrafodelista"/>
        <w:rPr>
          <w:rFonts w:ascii="Palatino Linotype" w:hAnsi="Palatino Linotype" w:cs="Arial"/>
          <w:bCs/>
          <w:color w:val="000000" w:themeColor="text1"/>
          <w:sz w:val="24"/>
          <w:szCs w:val="24"/>
        </w:rPr>
      </w:pPr>
    </w:p>
    <w:p w:rsidR="0003648B" w:rsidRDefault="0003648B" w:rsidP="000D1DDF">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D1DDF" w:rsidRPr="000D1DDF" w:rsidRDefault="000D1DDF" w:rsidP="000D1DDF">
      <w:pPr>
        <w:pStyle w:val="Prrafodelista"/>
        <w:rPr>
          <w:rFonts w:ascii="Palatino Linotype" w:hAnsi="Palatino Linotype" w:cs="Arial"/>
          <w:bCs/>
          <w:color w:val="000000" w:themeColor="text1"/>
          <w:sz w:val="24"/>
          <w:szCs w:val="24"/>
        </w:rPr>
      </w:pPr>
    </w:p>
    <w:p w:rsidR="0003648B" w:rsidRPr="00427B79" w:rsidRDefault="0003648B" w:rsidP="000D1DDF">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001553F5" w:rsidRPr="001553F5">
        <w:rPr>
          <w:rFonts w:ascii="Palatino Linotype" w:hAnsi="Palatino Linotype" w:cs="Arial"/>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w:t>
      </w:r>
      <w:r w:rsidRPr="00427B79">
        <w:rPr>
          <w:rFonts w:ascii="Palatino Linotype" w:hAnsi="Palatino Linotype"/>
          <w:sz w:val="24"/>
          <w:szCs w:val="24"/>
        </w:rPr>
        <w:lastRenderedPageBreak/>
        <w:t>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061791"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w:t>
      </w:r>
      <w:r w:rsidR="00F751F9">
        <w:rPr>
          <w:rFonts w:ascii="Palatino Linotype" w:hAnsi="Palatino Linotype"/>
          <w:sz w:val="24"/>
          <w:szCs w:val="24"/>
        </w:rPr>
        <w:t>os;</w:t>
      </w:r>
      <w:r w:rsidRPr="00427B79">
        <w:rPr>
          <w:rFonts w:ascii="Palatino Linotype" w:hAnsi="Palatino Linotype"/>
          <w:sz w:val="24"/>
          <w:szCs w:val="24"/>
        </w:rPr>
        <w:t xml:space="preserve">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61791" w:rsidRPr="00061791" w:rsidRDefault="00061791" w:rsidP="00061791">
      <w:pPr>
        <w:pStyle w:val="Prrafodelista"/>
        <w:rPr>
          <w:rFonts w:ascii="Palatino Linotype" w:hAnsi="Palatino Linotype" w:cs="Arial"/>
          <w:sz w:val="24"/>
          <w:szCs w:val="24"/>
        </w:rPr>
      </w:pPr>
    </w:p>
    <w:p w:rsidR="0003648B" w:rsidRPr="00427B79"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w:t>
      </w:r>
      <w:r w:rsidRPr="00427B79">
        <w:rPr>
          <w:rFonts w:ascii="Palatino Linotype" w:hAnsi="Palatino Linotype"/>
          <w:sz w:val="24"/>
          <w:szCs w:val="24"/>
        </w:rPr>
        <w:lastRenderedPageBreak/>
        <w:t>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205008" w:rsidRDefault="0003648B" w:rsidP="00DC3467">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sz w:val="24"/>
          <w:szCs w:val="24"/>
        </w:rPr>
        <w:t xml:space="preserve">Derivado de dicha obligación se </w:t>
      </w:r>
      <w:r w:rsidRPr="001553F5">
        <w:rPr>
          <w:rFonts w:ascii="Palatino Linotype" w:hAnsi="Palatino Linotype"/>
          <w:b/>
          <w:i/>
          <w:sz w:val="24"/>
          <w:szCs w:val="24"/>
        </w:rPr>
        <w:t xml:space="preserve">impone también la obligación de </w:t>
      </w:r>
      <w:r w:rsidRPr="001553F5">
        <w:rPr>
          <w:rFonts w:ascii="Palatino Linotype" w:hAnsi="Palatino Linotype"/>
          <w:b/>
          <w:bCs/>
          <w:i/>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205008" w:rsidRDefault="00205008" w:rsidP="00205008">
      <w:pPr>
        <w:pStyle w:val="Prrafodelista"/>
        <w:pBdr>
          <w:top w:val="nil"/>
          <w:left w:val="nil"/>
          <w:bottom w:val="nil"/>
          <w:right w:val="nil"/>
          <w:between w:val="nil"/>
          <w:bar w:val="nil"/>
        </w:pBdr>
        <w:spacing w:before="240" w:after="240" w:line="360" w:lineRule="auto"/>
        <w:ind w:left="0"/>
        <w:jc w:val="both"/>
        <w:rPr>
          <w:rFonts w:ascii="Palatino Linotype" w:hAnsi="Palatino Linotype"/>
          <w:bCs/>
          <w:color w:val="000000" w:themeColor="text1"/>
          <w:sz w:val="24"/>
          <w:szCs w:val="24"/>
        </w:rPr>
      </w:pPr>
    </w:p>
    <w:p w:rsidR="0003648B" w:rsidRPr="00427B79" w:rsidRDefault="00D35B4C" w:rsidP="00DC3467">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w:t>
      </w:r>
      <w:r w:rsidR="00F066CD">
        <w:rPr>
          <w:rFonts w:ascii="Palatino Linotype" w:hAnsi="Palatino Linotype"/>
          <w:bCs/>
          <w:color w:val="000000" w:themeColor="text1"/>
          <w:sz w:val="24"/>
          <w:szCs w:val="24"/>
        </w:rPr>
        <w:t xml:space="preserve">el mismo </w:t>
      </w:r>
      <w:r w:rsidR="00F066CD">
        <w:rPr>
          <w:rFonts w:ascii="Palatino Linotype" w:hAnsi="Palatino Linotype"/>
          <w:b/>
          <w:bCs/>
          <w:color w:val="000000" w:themeColor="text1"/>
          <w:sz w:val="24"/>
          <w:szCs w:val="24"/>
        </w:rPr>
        <w:t>SUJETO OBLIGADO</w:t>
      </w:r>
      <w:r w:rsidR="00F066CD">
        <w:rPr>
          <w:rFonts w:ascii="Palatino Linotype" w:hAnsi="Palatino Linotype"/>
          <w:bCs/>
          <w:color w:val="000000" w:themeColor="text1"/>
          <w:sz w:val="24"/>
          <w:szCs w:val="24"/>
        </w:rPr>
        <w:t xml:space="preserve"> se ha manifestado afirmativamente respecto de que posee, genera y administra la información solicitada</w:t>
      </w:r>
      <w:r w:rsidR="002770E2">
        <w:rPr>
          <w:rFonts w:ascii="Palatino Linotype" w:hAnsi="Palatino Linotype" w:cs="Arial"/>
          <w:b/>
          <w:sz w:val="24"/>
          <w:szCs w:val="24"/>
        </w:rPr>
        <w:t>,</w:t>
      </w:r>
      <w:r w:rsidR="002770E2">
        <w:rPr>
          <w:rFonts w:ascii="Palatino Linotype" w:hAnsi="Palatino Linotype" w:cs="Arial"/>
          <w:sz w:val="24"/>
          <w:szCs w:val="24"/>
        </w:rPr>
        <w:t xml:space="preserve"> no cabe la condicionante de que se hará entrega de la información previo pago de derechos por digitalización</w:t>
      </w:r>
      <w:r w:rsidR="0003648B" w:rsidRPr="00D35B4C">
        <w:rPr>
          <w:rFonts w:ascii="Palatino Linotype" w:hAnsi="Palatino Linotype" w:cs="Arial"/>
          <w:sz w:val="24"/>
          <w:szCs w:val="24"/>
        </w:rPr>
        <w:t>,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F751F9">
      <w:pPr>
        <w:pStyle w:val="Prrafodelista"/>
        <w:numPr>
          <w:ilvl w:val="0"/>
          <w:numId w:val="4"/>
        </w:numPr>
        <w:spacing w:before="240" w:after="240" w:line="360" w:lineRule="auto"/>
        <w:ind w:left="851" w:right="616" w:hanging="284"/>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Si la posesión de la informa</w:t>
      </w:r>
      <w:r w:rsidR="00F751F9">
        <w:rPr>
          <w:rFonts w:ascii="Palatino Linotype" w:hAnsi="Palatino Linotype"/>
          <w:bCs/>
          <w:color w:val="000000" w:themeColor="text1"/>
          <w:sz w:val="24"/>
          <w:szCs w:val="24"/>
        </w:rPr>
        <w:t>ción es de carácter inexcusable;</w:t>
      </w:r>
      <w:r w:rsidRPr="00D35B4C">
        <w:rPr>
          <w:rFonts w:ascii="Palatino Linotype" w:hAnsi="Palatino Linotype"/>
          <w:bCs/>
          <w:color w:val="000000" w:themeColor="text1"/>
          <w:sz w:val="24"/>
          <w:szCs w:val="24"/>
        </w:rPr>
        <w:t xml:space="preserve"> es decir </w:t>
      </w:r>
      <w:r w:rsidRPr="00D35B4C">
        <w:rPr>
          <w:rFonts w:ascii="Palatino Linotype" w:hAnsi="Palatino Linotype"/>
          <w:sz w:val="24"/>
          <w:szCs w:val="24"/>
        </w:rPr>
        <w:t>si el sujeto obligado, en el eje</w:t>
      </w:r>
      <w:r w:rsidR="002770E2">
        <w:rPr>
          <w:rFonts w:ascii="Palatino Linotype" w:hAnsi="Palatino Linotype"/>
          <w:sz w:val="24"/>
          <w:szCs w:val="24"/>
        </w:rPr>
        <w:t>rcicio de sus atribuciones, debe</w:t>
      </w:r>
      <w:r w:rsidRPr="00D35B4C">
        <w:rPr>
          <w:rFonts w:ascii="Palatino Linotype" w:hAnsi="Palatino Linotype"/>
          <w:sz w:val="24"/>
          <w:szCs w:val="24"/>
        </w:rPr>
        <w:t xml:space="preserve"> generar, poseer o administrar la información</w:t>
      </w:r>
      <w:r w:rsidR="00E04ADD">
        <w:rPr>
          <w:rFonts w:ascii="Palatino Linotype" w:hAnsi="Palatino Linotype"/>
          <w:sz w:val="24"/>
          <w:szCs w:val="24"/>
        </w:rPr>
        <w:t>,</w:t>
      </w:r>
      <w:r w:rsidR="002770E2">
        <w:rPr>
          <w:rFonts w:ascii="Palatino Linotype" w:hAnsi="Palatino Linotype"/>
          <w:sz w:val="24"/>
          <w:szCs w:val="24"/>
        </w:rPr>
        <w:t xml:space="preserve"> </w:t>
      </w:r>
      <w:r w:rsidR="00E04ADD">
        <w:rPr>
          <w:rFonts w:ascii="Palatino Linotype" w:hAnsi="Palatino Linotype"/>
          <w:sz w:val="24"/>
          <w:szCs w:val="24"/>
        </w:rPr>
        <w:t xml:space="preserve">por tanto es </w:t>
      </w:r>
      <w:r w:rsidR="002770E2">
        <w:rPr>
          <w:rFonts w:ascii="Palatino Linotype" w:hAnsi="Palatino Linotype"/>
          <w:sz w:val="24"/>
          <w:szCs w:val="24"/>
        </w:rPr>
        <w:t xml:space="preserve">aplicable a la rendición de </w:t>
      </w:r>
      <w:r w:rsidR="00E04ADD">
        <w:rPr>
          <w:rFonts w:ascii="Palatino Linotype" w:hAnsi="Palatino Linotype"/>
          <w:sz w:val="24"/>
          <w:szCs w:val="24"/>
        </w:rPr>
        <w:t>cuentas,</w:t>
      </w:r>
      <w:r w:rsidR="002770E2">
        <w:rPr>
          <w:rFonts w:ascii="Palatino Linotype" w:hAnsi="Palatino Linotype"/>
          <w:sz w:val="24"/>
          <w:szCs w:val="24"/>
        </w:rPr>
        <w:t xml:space="preserve"> a pesar de no figurar en los preceptos legales aplicables de los artículos 92, 94 o 98 de la Ley de Transparencia y Acceso a la Información Pública del Estado de México y Municipios</w:t>
      </w:r>
      <w:r w:rsidRPr="00D35B4C">
        <w:rPr>
          <w:rFonts w:ascii="Palatino Linotype" w:hAnsi="Palatino Linotype"/>
          <w:sz w:val="24"/>
          <w:szCs w:val="24"/>
        </w:rPr>
        <w:t>.</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C3467" w:rsidRDefault="002770E2" w:rsidP="00F751F9">
      <w:pPr>
        <w:pStyle w:val="Prrafodelista"/>
        <w:numPr>
          <w:ilvl w:val="0"/>
          <w:numId w:val="4"/>
        </w:numPr>
        <w:spacing w:before="240" w:after="240" w:line="360" w:lineRule="auto"/>
        <w:ind w:left="851" w:right="616" w:hanging="284"/>
        <w:jc w:val="both"/>
        <w:rPr>
          <w:rFonts w:ascii="Palatino Linotype" w:hAnsi="Palatino Linotype"/>
          <w:bCs/>
          <w:color w:val="000000" w:themeColor="text1"/>
          <w:sz w:val="24"/>
          <w:szCs w:val="24"/>
        </w:rPr>
      </w:pPr>
      <w:r>
        <w:rPr>
          <w:rFonts w:ascii="Palatino Linotype" w:hAnsi="Palatino Linotype"/>
          <w:sz w:val="24"/>
          <w:szCs w:val="24"/>
        </w:rPr>
        <w:t xml:space="preserve">El cobro por digitalizar archivos o documentos reconocido dentro del artículo 73 fracción VI del Código Financiero del Estado de México, </w:t>
      </w:r>
      <w:r w:rsidRPr="00F066CD">
        <w:rPr>
          <w:rFonts w:ascii="Palatino Linotype" w:hAnsi="Palatino Linotype"/>
          <w:sz w:val="24"/>
          <w:szCs w:val="24"/>
          <w:u w:val="single"/>
        </w:rPr>
        <w:t>contradice los Lineamientos para la Organización y Conservación de Archivos</w:t>
      </w:r>
      <w:r>
        <w:rPr>
          <w:rFonts w:ascii="Palatino Linotype" w:hAnsi="Palatino Linotype"/>
          <w:sz w:val="24"/>
          <w:szCs w:val="24"/>
        </w:rPr>
        <w:t>, del Sistema Nacional de Transparencia, Acceso a la Información Pública y Protección de Datos Personales</w:t>
      </w:r>
      <w:r w:rsidR="0003648B" w:rsidRPr="00D35B4C">
        <w:rPr>
          <w:rFonts w:ascii="Palatino Linotype" w:hAnsi="Palatino Linotype"/>
          <w:sz w:val="24"/>
          <w:szCs w:val="24"/>
        </w:rPr>
        <w:t>.</w:t>
      </w:r>
    </w:p>
    <w:p w:rsidR="00DC3467" w:rsidRPr="00DC3467" w:rsidRDefault="00DC3467" w:rsidP="00DC3467">
      <w:pPr>
        <w:pStyle w:val="Prrafodelista"/>
        <w:rPr>
          <w:rFonts w:ascii="Palatino Linotype" w:hAnsi="Palatino Linotype"/>
          <w:bCs/>
          <w:color w:val="000000" w:themeColor="text1"/>
          <w:sz w:val="24"/>
          <w:szCs w:val="24"/>
        </w:rPr>
      </w:pPr>
    </w:p>
    <w:p w:rsidR="0003648B" w:rsidRPr="00F751F9" w:rsidRDefault="0003648B" w:rsidP="00DC3467">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064D12">
        <w:rPr>
          <w:rFonts w:ascii="Palatino Linotype" w:hAnsi="Palatino Linotype" w:cs="Arial"/>
          <w:sz w:val="24"/>
          <w:szCs w:val="24"/>
        </w:rPr>
        <w:t>En razón a las consideraciones</w:t>
      </w:r>
      <w:r w:rsidR="00F751F9">
        <w:rPr>
          <w:rFonts w:ascii="Palatino Linotype" w:hAnsi="Palatino Linotype" w:cs="Arial"/>
          <w:sz w:val="24"/>
          <w:szCs w:val="24"/>
        </w:rPr>
        <w:t xml:space="preserve"> antes señaladas es que no podemos</w:t>
      </w:r>
      <w:r w:rsidRPr="00064D12">
        <w:rPr>
          <w:rFonts w:ascii="Palatino Linotype" w:hAnsi="Palatino Linotype" w:cs="Arial"/>
          <w:sz w:val="24"/>
          <w:szCs w:val="24"/>
        </w:rPr>
        <w:t xml:space="preserve"> compartir el sentido de la resolución adoptada</w:t>
      </w:r>
      <w:r w:rsidR="00F751F9">
        <w:rPr>
          <w:rFonts w:ascii="Palatino Linotype" w:hAnsi="Palatino Linotype" w:cs="Arial"/>
          <w:sz w:val="24"/>
          <w:szCs w:val="24"/>
        </w:rPr>
        <w:t xml:space="preserve"> en ese aspecto específico.</w:t>
      </w:r>
      <w:r w:rsidRPr="00064D12">
        <w:rPr>
          <w:rFonts w:ascii="Palatino Linotype" w:hAnsi="Palatino Linotype" w:cs="Arial"/>
          <w:sz w:val="24"/>
          <w:szCs w:val="24"/>
        </w:rPr>
        <w:t xml:space="preserve"> </w:t>
      </w:r>
      <w:r w:rsidR="00F751F9">
        <w:rPr>
          <w:rFonts w:ascii="Palatino Linotype" w:hAnsi="Palatino Linotype" w:cs="Arial"/>
          <w:sz w:val="24"/>
          <w:szCs w:val="24"/>
        </w:rPr>
        <w:t>En tal virtud, es que</w:t>
      </w:r>
      <w:r w:rsidR="00D35B4C" w:rsidRPr="00064D12">
        <w:rPr>
          <w:rFonts w:ascii="Palatino Linotype" w:hAnsi="Palatino Linotype" w:cs="Arial"/>
          <w:sz w:val="24"/>
          <w:szCs w:val="24"/>
        </w:rPr>
        <w:t xml:space="preserve"> </w:t>
      </w:r>
      <w:r w:rsidR="00F751F9">
        <w:rPr>
          <w:rFonts w:ascii="Palatino Linotype" w:hAnsi="Palatino Linotype" w:cs="Arial"/>
          <w:sz w:val="24"/>
          <w:szCs w:val="24"/>
        </w:rPr>
        <w:t xml:space="preserve">nos </w:t>
      </w:r>
      <w:r w:rsidR="00D35B4C" w:rsidRPr="00064D12">
        <w:rPr>
          <w:rFonts w:ascii="Palatino Linotype" w:hAnsi="Palatino Linotype" w:cs="Arial"/>
          <w:sz w:val="24"/>
          <w:szCs w:val="24"/>
        </w:rPr>
        <w:t>permit</w:t>
      </w:r>
      <w:r w:rsidR="00F751F9">
        <w:rPr>
          <w:rFonts w:ascii="Palatino Linotype" w:hAnsi="Palatino Linotype" w:cs="Arial"/>
          <w:sz w:val="24"/>
          <w:szCs w:val="24"/>
        </w:rPr>
        <w:t>imos</w:t>
      </w:r>
      <w:r w:rsidR="00D35B4C" w:rsidRPr="00064D12">
        <w:rPr>
          <w:rFonts w:ascii="Palatino Linotype" w:hAnsi="Palatino Linotype" w:cs="Arial"/>
          <w:sz w:val="24"/>
          <w:szCs w:val="24"/>
        </w:rPr>
        <w:t xml:space="preserve"> manifestar el presente voto particular:</w:t>
      </w:r>
    </w:p>
    <w:p w:rsidR="00680533" w:rsidRDefault="00835C8D" w:rsidP="00835C8D">
      <w:pPr>
        <w:pStyle w:val="Ttulo1"/>
        <w:rPr>
          <w:rFonts w:eastAsia="Calibri"/>
          <w:color w:val="auto"/>
          <w:szCs w:val="24"/>
        </w:rPr>
      </w:pPr>
      <w:bookmarkStart w:id="4" w:name="_Toc535844193"/>
      <w:r w:rsidRPr="00064D12">
        <w:rPr>
          <w:rFonts w:eastAsia="Calibri"/>
          <w:color w:val="auto"/>
          <w:szCs w:val="24"/>
        </w:rPr>
        <w:lastRenderedPageBreak/>
        <w:t xml:space="preserve">IV. </w:t>
      </w:r>
      <w:r w:rsidR="00680533" w:rsidRPr="00064D12">
        <w:rPr>
          <w:rFonts w:eastAsia="Calibri"/>
          <w:color w:val="auto"/>
          <w:szCs w:val="24"/>
        </w:rPr>
        <w:t>Del Pr</w:t>
      </w:r>
      <w:r w:rsidR="002770E2" w:rsidRPr="00064D12">
        <w:rPr>
          <w:rFonts w:eastAsia="Calibri"/>
          <w:color w:val="auto"/>
          <w:szCs w:val="24"/>
        </w:rPr>
        <w:t>incipio de Gratuidad</w:t>
      </w:r>
      <w:bookmarkEnd w:id="4"/>
    </w:p>
    <w:p w:rsidR="00DC3467" w:rsidRPr="00DC3467" w:rsidRDefault="00DC3467" w:rsidP="00DC3467"/>
    <w:p w:rsidR="002770E2" w:rsidRPr="00064D12" w:rsidRDefault="002770E2" w:rsidP="002770E2">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r w:rsidRPr="00064D12">
        <w:rPr>
          <w:rFonts w:ascii="Palatino Linotype" w:hAnsi="Palatino Linotype" w:cs="Arial"/>
          <w:bCs/>
          <w:color w:val="000000" w:themeColor="text1"/>
          <w:sz w:val="24"/>
          <w:szCs w:val="24"/>
        </w:rPr>
        <w:t xml:space="preserve">Como parte del Derecho de Acceso a la Información Pública se contempla la observancia de principios en su carácter de </w:t>
      </w:r>
      <w:r w:rsidRPr="00064D12">
        <w:rPr>
          <w:rFonts w:ascii="Palatino Linotype" w:hAnsi="Palatino Linotype" w:cs="Arial"/>
          <w:b/>
          <w:bCs/>
          <w:color w:val="000000" w:themeColor="text1"/>
          <w:sz w:val="24"/>
          <w:szCs w:val="24"/>
          <w:u w:val="single"/>
        </w:rPr>
        <w:t>gratuita</w:t>
      </w:r>
      <w:r w:rsidRPr="00064D12">
        <w:rPr>
          <w:rFonts w:ascii="Palatino Linotype" w:hAnsi="Palatino Linotype" w:cs="Arial"/>
          <w:bCs/>
          <w:color w:val="000000" w:themeColor="text1"/>
          <w:sz w:val="24"/>
          <w:szCs w:val="24"/>
        </w:rPr>
        <w:t xml:space="preserve">, veraz, confiable, oportuna, congruente, integral, actualizada, accesible, comprensible, verificable y de fácil acceso. </w:t>
      </w:r>
    </w:p>
    <w:p w:rsidR="002770E2" w:rsidRPr="00C1792A" w:rsidRDefault="002770E2" w:rsidP="002770E2">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p>
    <w:p w:rsidR="002770E2" w:rsidRPr="00C1792A" w:rsidRDefault="002770E2" w:rsidP="002770E2">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r w:rsidRPr="00C1792A">
        <w:rPr>
          <w:rFonts w:ascii="Palatino Linotype" w:hAnsi="Palatino Linotype" w:cs="Arial"/>
          <w:iCs/>
          <w:color w:val="000000" w:themeColor="text1"/>
          <w:sz w:val="24"/>
          <w:szCs w:val="24"/>
        </w:rPr>
        <w:t xml:space="preserve">La </w:t>
      </w:r>
      <w:r w:rsidRPr="00C1792A">
        <w:rPr>
          <w:rFonts w:ascii="Palatino Linotype" w:hAnsi="Palatino Linotype" w:cs="Arial"/>
          <w:b/>
          <w:bCs/>
          <w:color w:val="000000" w:themeColor="text1"/>
          <w:sz w:val="24"/>
          <w:szCs w:val="24"/>
        </w:rPr>
        <w:t>Ley General de Transparencia y Acceso a la Información Pública</w:t>
      </w:r>
      <w:r w:rsidRPr="00C1792A">
        <w:rPr>
          <w:rFonts w:ascii="Palatino Linotype" w:hAnsi="Palatino Linotype" w:cs="Arial"/>
          <w:bCs/>
          <w:color w:val="000000" w:themeColor="text1"/>
          <w:sz w:val="24"/>
          <w:szCs w:val="24"/>
        </w:rPr>
        <w:t xml:space="preserve"> señala explícitamente </w:t>
      </w:r>
      <w:r w:rsidR="0037144D">
        <w:rPr>
          <w:rFonts w:ascii="Palatino Linotype" w:hAnsi="Palatino Linotype" w:cs="Arial"/>
          <w:bCs/>
          <w:color w:val="000000" w:themeColor="text1"/>
          <w:sz w:val="24"/>
          <w:szCs w:val="24"/>
        </w:rPr>
        <w:t xml:space="preserve">en su artículo 17 </w:t>
      </w:r>
      <w:r w:rsidRPr="00C1792A">
        <w:rPr>
          <w:rFonts w:ascii="Palatino Linotype" w:hAnsi="Palatino Linotype" w:cs="Arial"/>
          <w:bCs/>
          <w:color w:val="000000" w:themeColor="text1"/>
          <w:sz w:val="24"/>
          <w:szCs w:val="24"/>
        </w:rPr>
        <w:t>que el ejercicio del derecho de acceso a la información será gratuito y sólo podrá requerirse el cobro correspondiente a la modalidad de reproducción y entrega solicitada.</w:t>
      </w:r>
    </w:p>
    <w:p w:rsidR="002770E2" w:rsidRPr="00C1792A" w:rsidRDefault="002770E2" w:rsidP="002770E2">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p>
    <w:p w:rsidR="002770E2" w:rsidRPr="00C1792A"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t xml:space="preserve">Dentro de los principios que la </w:t>
      </w:r>
      <w:r w:rsidR="0037144D">
        <w:rPr>
          <w:rFonts w:ascii="Palatino Linotype" w:hAnsi="Palatino Linotype" w:cs="Arial"/>
          <w:bCs/>
          <w:sz w:val="24"/>
          <w:szCs w:val="24"/>
        </w:rPr>
        <w:t>C</w:t>
      </w:r>
      <w:r w:rsidRPr="00C1792A">
        <w:rPr>
          <w:rFonts w:ascii="Palatino Linotype" w:hAnsi="Palatino Linotype" w:cs="Arial"/>
          <w:bCs/>
          <w:sz w:val="24"/>
          <w:szCs w:val="24"/>
        </w:rPr>
        <w:t xml:space="preserve">onstitución </w:t>
      </w:r>
      <w:r w:rsidR="0037144D">
        <w:rPr>
          <w:rFonts w:ascii="Palatino Linotype" w:hAnsi="Palatino Linotype" w:cs="Arial"/>
          <w:bCs/>
          <w:sz w:val="24"/>
          <w:szCs w:val="24"/>
        </w:rPr>
        <w:t>Política del Estado Libre y Soberano de México,</w:t>
      </w:r>
      <w:r w:rsidRPr="00C1792A">
        <w:rPr>
          <w:rFonts w:ascii="Palatino Linotype" w:hAnsi="Palatino Linotype" w:cs="Arial"/>
          <w:bCs/>
          <w:sz w:val="24"/>
          <w:szCs w:val="24"/>
        </w:rPr>
        <w:t xml:space="preserve"> señala para hacer efectivo el derecho de acceso a la información pública, se encuentra el de la </w:t>
      </w:r>
      <w:r w:rsidRPr="00C1792A">
        <w:rPr>
          <w:rFonts w:ascii="Palatino Linotype" w:hAnsi="Palatino Linotype" w:cs="Arial"/>
          <w:b/>
          <w:bCs/>
          <w:sz w:val="24"/>
          <w:szCs w:val="24"/>
        </w:rPr>
        <w:t>gratuidad</w:t>
      </w:r>
      <w:r w:rsidRPr="00C1792A">
        <w:rPr>
          <w:rFonts w:ascii="Palatino Linotype" w:hAnsi="Palatino Linotype" w:cs="Arial"/>
          <w:bCs/>
          <w:sz w:val="24"/>
          <w:szCs w:val="24"/>
        </w:rPr>
        <w:t xml:space="preserve"> y el </w:t>
      </w:r>
      <w:r w:rsidRPr="00C1792A">
        <w:rPr>
          <w:rFonts w:ascii="Palatino Linotype" w:hAnsi="Palatino Linotype" w:cs="Arial"/>
          <w:b/>
          <w:bCs/>
          <w:sz w:val="24"/>
          <w:szCs w:val="24"/>
        </w:rPr>
        <w:t>uso de las herramientas tecnológicas de la información</w:t>
      </w:r>
      <w:r w:rsidRPr="00C1792A">
        <w:rPr>
          <w:rFonts w:ascii="Palatino Linotype" w:hAnsi="Palatino Linotype" w:cs="Arial"/>
          <w:bCs/>
          <w:sz w:val="24"/>
          <w:szCs w:val="24"/>
        </w:rPr>
        <w:t xml:space="preserve"> puesta a disposición, tanto de los particulares como de los </w:t>
      </w:r>
      <w:r w:rsidRPr="00C1792A">
        <w:rPr>
          <w:rFonts w:ascii="Palatino Linotype" w:hAnsi="Palatino Linotype" w:cs="Arial"/>
          <w:b/>
          <w:bCs/>
          <w:sz w:val="24"/>
          <w:szCs w:val="24"/>
        </w:rPr>
        <w:t>SUJETOS OBLIGADOS</w:t>
      </w:r>
      <w:r w:rsidRPr="00C1792A">
        <w:rPr>
          <w:rFonts w:ascii="Palatino Linotype" w:hAnsi="Palatino Linotype" w:cs="Arial"/>
          <w:bCs/>
          <w:sz w:val="24"/>
          <w:szCs w:val="24"/>
        </w:rPr>
        <w:t xml:space="preserve">. Es por esta razón que la </w:t>
      </w:r>
      <w:r w:rsidRPr="00C1792A">
        <w:rPr>
          <w:rFonts w:ascii="Palatino Linotype" w:hAnsi="Palatino Linotype" w:cs="Arial"/>
          <w:b/>
          <w:bCs/>
          <w:sz w:val="24"/>
          <w:szCs w:val="24"/>
        </w:rPr>
        <w:t>Ley de Transparencia y Acceso a la Información Pública del Estado de México y Municipios</w:t>
      </w:r>
      <w:r w:rsidRPr="00C1792A">
        <w:rPr>
          <w:rFonts w:ascii="Palatino Linotype" w:hAnsi="Palatino Linotype" w:cs="Arial"/>
          <w:bCs/>
          <w:sz w:val="24"/>
          <w:szCs w:val="24"/>
        </w:rPr>
        <w:t xml:space="preserve">, en concordancia con la Ley General de Transparencia y la Constitución local señala las directrices y procedimientos que deben seguirse para poner a disposición de las personas la información. </w:t>
      </w:r>
    </w:p>
    <w:p w:rsidR="002770E2" w:rsidRPr="00C1792A" w:rsidRDefault="002770E2" w:rsidP="002770E2">
      <w:pPr>
        <w:pStyle w:val="Prrafodelista"/>
        <w:rPr>
          <w:rFonts w:ascii="Palatino Linotype" w:hAnsi="Palatino Linotype" w:cs="Arial"/>
          <w:bCs/>
          <w:sz w:val="24"/>
          <w:szCs w:val="24"/>
        </w:rPr>
      </w:pPr>
    </w:p>
    <w:p w:rsidR="002770E2" w:rsidRPr="00C1792A"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lastRenderedPageBreak/>
        <w:t xml:space="preserve">De manera específica el artículo 9 fracción III de la Ley de Transparencia y Acceso a la Información Pública del Estado de México y Municipios establece: </w:t>
      </w:r>
    </w:p>
    <w:p w:rsidR="002770E2" w:rsidRDefault="002770E2" w:rsidP="002770E2">
      <w:pPr>
        <w:spacing w:before="240" w:after="0" w:line="360" w:lineRule="auto"/>
        <w:ind w:left="851" w:right="616"/>
        <w:contextualSpacing/>
        <w:jc w:val="both"/>
        <w:rPr>
          <w:rFonts w:ascii="Palatino Linotype" w:hAnsi="Palatino Linotype"/>
          <w:i/>
        </w:rPr>
      </w:pPr>
      <w:r>
        <w:rPr>
          <w:rFonts w:ascii="Palatino Linotype" w:hAnsi="Palatino Linotype"/>
          <w:b/>
          <w:i/>
        </w:rPr>
        <w:t xml:space="preserve">Artículo 9. </w:t>
      </w:r>
      <w:r w:rsidRPr="008A4DE7">
        <w:rPr>
          <w:rFonts w:ascii="Palatino Linotype" w:hAnsi="Palatino Linotype"/>
          <w:i/>
        </w:rPr>
        <w:t>El Instituto deberá regir su funcionamiento de acuerdo a los siguientes principios:</w:t>
      </w:r>
    </w:p>
    <w:p w:rsidR="002770E2" w:rsidRPr="008A4DE7" w:rsidRDefault="002770E2" w:rsidP="002770E2">
      <w:pPr>
        <w:spacing w:before="240" w:after="0" w:line="360" w:lineRule="auto"/>
        <w:ind w:left="851" w:right="616"/>
        <w:contextualSpacing/>
        <w:jc w:val="both"/>
        <w:rPr>
          <w:rFonts w:ascii="Palatino Linotype" w:hAnsi="Palatino Linotype" w:cs="Arial"/>
          <w:b/>
          <w:i/>
          <w:iCs/>
          <w:color w:val="000000" w:themeColor="text1"/>
          <w:sz w:val="24"/>
          <w:szCs w:val="24"/>
        </w:rPr>
      </w:pPr>
      <w:r>
        <w:rPr>
          <w:rFonts w:ascii="Palatino Linotype" w:hAnsi="Palatino Linotype"/>
          <w:b/>
          <w:i/>
        </w:rPr>
        <w:t>…</w:t>
      </w:r>
    </w:p>
    <w:p w:rsidR="002770E2" w:rsidRDefault="002770E2" w:rsidP="002770E2">
      <w:pPr>
        <w:spacing w:line="360" w:lineRule="auto"/>
        <w:ind w:left="851" w:right="616"/>
        <w:jc w:val="both"/>
        <w:rPr>
          <w:rFonts w:ascii="Palatino Linotype" w:hAnsi="Palatino Linotype"/>
          <w:i/>
        </w:rPr>
      </w:pPr>
      <w:r w:rsidRPr="008A4DE7">
        <w:rPr>
          <w:rFonts w:ascii="Palatino Linotype" w:hAnsi="Palatino Linotype"/>
          <w:i/>
        </w:rPr>
        <w:t xml:space="preserve">III. Gratuidad: Consiste en que el acceso a la información pública </w:t>
      </w:r>
      <w:r w:rsidRPr="008A4DE7">
        <w:rPr>
          <w:rFonts w:ascii="Palatino Linotype" w:hAnsi="Palatino Linotype"/>
          <w:b/>
          <w:i/>
        </w:rPr>
        <w:t>no genera costo alguno para los solicitantes</w:t>
      </w:r>
      <w:r w:rsidRPr="008A4DE7">
        <w:rPr>
          <w:rFonts w:ascii="Palatino Linotype" w:hAnsi="Palatino Linotype"/>
          <w:i/>
        </w:rPr>
        <w:t xml:space="preserve">, </w:t>
      </w:r>
      <w:r w:rsidRPr="008A4DE7">
        <w:rPr>
          <w:rFonts w:ascii="Palatino Linotype" w:hAnsi="Palatino Linotype"/>
          <w:b/>
          <w:i/>
        </w:rPr>
        <w:t>sólo podrá requerirse el cobro correspondiente a la modalidad de reproducción y entrega solicitada</w:t>
      </w:r>
      <w:r w:rsidRPr="008A4DE7">
        <w:rPr>
          <w:rFonts w:ascii="Palatino Linotype" w:hAnsi="Palatino Linotype"/>
          <w:i/>
        </w:rPr>
        <w:t xml:space="preserve"> conforme a lo establecido en la presente Ley y demás disposiciones jurídicas aplicables;</w:t>
      </w:r>
    </w:p>
    <w:p w:rsidR="002770E2"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En este orden de ideas el artículo 150 de la Ley en referencia en su texto literal refiere: </w:t>
      </w:r>
    </w:p>
    <w:p w:rsidR="002770E2" w:rsidRDefault="002770E2" w:rsidP="002770E2">
      <w:pPr>
        <w:pStyle w:val="Prrafodelista"/>
        <w:spacing w:before="240" w:after="240" w:line="360" w:lineRule="auto"/>
        <w:ind w:left="851" w:right="616"/>
        <w:jc w:val="both"/>
        <w:rPr>
          <w:rFonts w:ascii="Palatino Linotype" w:hAnsi="Palatino Linotype"/>
          <w:i/>
        </w:rPr>
      </w:pPr>
      <w:r>
        <w:rPr>
          <w:rFonts w:ascii="Palatino Linotype" w:hAnsi="Palatino Linotype"/>
          <w:i/>
        </w:rPr>
        <w:t>“</w:t>
      </w:r>
      <w:r w:rsidRPr="008A4DE7">
        <w:rPr>
          <w:rFonts w:ascii="Palatino Linotype" w:hAnsi="Palatino Linotype"/>
          <w:b/>
          <w:i/>
        </w:rPr>
        <w:t>Artículo 150.</w:t>
      </w:r>
      <w:r w:rsidRPr="008A4DE7">
        <w:rPr>
          <w:rFonts w:ascii="Palatino Linotype" w:hAnsi="Palatino Linotype"/>
          <w:i/>
        </w:rPr>
        <w:t xml:space="preserve"> El procedimiento de acceso a la información es la garantía primaria del derecho en cuestión y se rige por los principios de simplicidad, rapidez </w:t>
      </w:r>
      <w:r w:rsidRPr="008A4DE7">
        <w:rPr>
          <w:rFonts w:ascii="Palatino Linotype" w:hAnsi="Palatino Linotype"/>
          <w:b/>
          <w:i/>
        </w:rPr>
        <w:t>gratuidad del procedimiento</w:t>
      </w:r>
      <w:r w:rsidRPr="008A4DE7">
        <w:rPr>
          <w:rFonts w:ascii="Palatino Linotype" w:hAnsi="Palatino Linotype"/>
          <w:i/>
        </w:rPr>
        <w:t>, auxilio y orientación a los particulares, así como atención adecuada a las personas con discapacidad y a los hablantes de lengua indígena con el objeto de otorgar la protección más amplia del derecho de las personas.</w:t>
      </w:r>
    </w:p>
    <w:p w:rsidR="00061791" w:rsidRPr="00061791" w:rsidRDefault="00061791" w:rsidP="00061791">
      <w:pPr>
        <w:spacing w:before="240" w:after="240" w:line="360" w:lineRule="auto"/>
        <w:jc w:val="both"/>
        <w:rPr>
          <w:rFonts w:ascii="Palatino Linotype" w:eastAsia="Times New Roman" w:hAnsi="Palatino Linotype" w:cs="Arial"/>
          <w:sz w:val="24"/>
          <w:szCs w:val="24"/>
        </w:rPr>
      </w:pPr>
    </w:p>
    <w:p w:rsidR="002770E2" w:rsidRPr="00194443" w:rsidRDefault="002770E2" w:rsidP="002770E2">
      <w:pPr>
        <w:pStyle w:val="Prrafodelista"/>
        <w:numPr>
          <w:ilvl w:val="0"/>
          <w:numId w:val="1"/>
        </w:numPr>
        <w:spacing w:before="240" w:after="240" w:line="360" w:lineRule="auto"/>
        <w:jc w:val="both"/>
        <w:rPr>
          <w:rFonts w:ascii="Palatino Linotype" w:eastAsia="Times New Roman" w:hAnsi="Palatino Linotype" w:cs="Arial"/>
          <w:sz w:val="24"/>
          <w:szCs w:val="24"/>
        </w:rPr>
      </w:pPr>
      <w:r w:rsidRPr="00194443">
        <w:rPr>
          <w:rFonts w:ascii="Palatino Linotype" w:hAnsi="Palatino Linotype" w:cs="Arial"/>
          <w:bCs/>
          <w:sz w:val="24"/>
          <w:szCs w:val="24"/>
        </w:rPr>
        <w:t xml:space="preserve">Para satisfacer plenamente el Derecho de Acceso a la Información Pública, este Órgano Garante debe velar por que el procedimiento de Acceso a la Información </w:t>
      </w:r>
      <w:r w:rsidR="003E1591">
        <w:rPr>
          <w:rFonts w:ascii="Palatino Linotype" w:hAnsi="Palatino Linotype" w:cs="Arial"/>
          <w:bCs/>
          <w:sz w:val="24"/>
          <w:szCs w:val="24"/>
        </w:rPr>
        <w:t>Q</w:t>
      </w:r>
      <w:r w:rsidRPr="00194443">
        <w:rPr>
          <w:rFonts w:ascii="Palatino Linotype" w:hAnsi="Palatino Linotype" w:cs="Arial"/>
          <w:bCs/>
          <w:sz w:val="24"/>
          <w:szCs w:val="24"/>
        </w:rPr>
        <w:t xml:space="preserve">ue es la garantía primaria del derecho en cuestión se observen los principios de simplicidad, rapidez </w:t>
      </w:r>
      <w:r w:rsidRPr="00194443">
        <w:rPr>
          <w:rFonts w:ascii="Palatino Linotype" w:hAnsi="Palatino Linotype" w:cs="Arial"/>
          <w:b/>
          <w:bCs/>
          <w:i/>
          <w:sz w:val="24"/>
          <w:szCs w:val="24"/>
        </w:rPr>
        <w:t>gratuidad del procedimiento</w:t>
      </w:r>
      <w:r w:rsidRPr="00194443">
        <w:rPr>
          <w:rFonts w:ascii="Palatino Linotype" w:hAnsi="Palatino Linotype" w:cs="Arial"/>
          <w:bCs/>
          <w:sz w:val="24"/>
          <w:szCs w:val="24"/>
        </w:rPr>
        <w:t xml:space="preserve">, así como auxilio y orientación </w:t>
      </w:r>
      <w:r w:rsidRPr="00194443">
        <w:rPr>
          <w:rFonts w:ascii="Palatino Linotype" w:hAnsi="Palatino Linotype" w:cs="Arial"/>
          <w:bCs/>
          <w:sz w:val="24"/>
          <w:szCs w:val="24"/>
        </w:rPr>
        <w:lastRenderedPageBreak/>
        <w:t xml:space="preserve">a los particulares con el propósito de otorgar la protección más amplia del derecho humano de las personas. </w:t>
      </w:r>
    </w:p>
    <w:p w:rsidR="002770E2" w:rsidRPr="00194443" w:rsidRDefault="002770E2" w:rsidP="002770E2">
      <w:pPr>
        <w:pStyle w:val="Prrafodelista"/>
        <w:spacing w:before="240" w:after="240" w:line="360" w:lineRule="auto"/>
        <w:jc w:val="both"/>
        <w:rPr>
          <w:rFonts w:ascii="Palatino Linotype" w:eastAsia="Times New Roman" w:hAnsi="Palatino Linotype" w:cs="Arial"/>
          <w:sz w:val="24"/>
          <w:szCs w:val="24"/>
        </w:rPr>
      </w:pPr>
    </w:p>
    <w:p w:rsidR="002770E2" w:rsidRPr="003E1591"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t>De los preceptos jurídicos citados se advierte que para garantizar plenamente el Derecho de Acceso a la Información Pública, se deben observar cada uno de los principios que la propia ley señala, y así como es importante el principio de máxima publicidad, también</w:t>
      </w:r>
      <w:r w:rsidR="0037144D">
        <w:rPr>
          <w:rFonts w:ascii="Palatino Linotype" w:hAnsi="Palatino Linotype" w:cs="Arial"/>
          <w:bCs/>
          <w:sz w:val="24"/>
          <w:szCs w:val="24"/>
        </w:rPr>
        <w:t xml:space="preserve"> lo es</w:t>
      </w:r>
      <w:r w:rsidRPr="00C1792A">
        <w:rPr>
          <w:rFonts w:ascii="Palatino Linotype" w:hAnsi="Palatino Linotype" w:cs="Arial"/>
          <w:bCs/>
          <w:sz w:val="24"/>
          <w:szCs w:val="24"/>
        </w:rPr>
        <w:t xml:space="preserve"> el principio</w:t>
      </w:r>
      <w:r w:rsidR="0037144D">
        <w:rPr>
          <w:rFonts w:ascii="Palatino Linotype" w:hAnsi="Palatino Linotype" w:cs="Arial"/>
          <w:bCs/>
          <w:sz w:val="24"/>
          <w:szCs w:val="24"/>
        </w:rPr>
        <w:t xml:space="preserve"> de gratuidad del procedimiento</w:t>
      </w:r>
      <w:r w:rsidRPr="00C1792A">
        <w:rPr>
          <w:rFonts w:ascii="Palatino Linotype" w:hAnsi="Palatino Linotype" w:cs="Arial"/>
          <w:bCs/>
          <w:sz w:val="24"/>
          <w:szCs w:val="24"/>
        </w:rPr>
        <w:t>, y la Ley es muy clara al especificar que: “</w:t>
      </w:r>
      <w:r w:rsidRPr="00C1792A">
        <w:rPr>
          <w:rFonts w:ascii="Palatino Linotype" w:hAnsi="Palatino Linotype"/>
          <w:b/>
          <w:i/>
          <w:sz w:val="24"/>
          <w:szCs w:val="24"/>
        </w:rPr>
        <w:t xml:space="preserve">sólo podrá requerirse el cobro correspondiente a la modalidad de reproducción y entrega solicitada” </w:t>
      </w:r>
      <w:r w:rsidRPr="00C1792A">
        <w:rPr>
          <w:rFonts w:ascii="Palatino Linotype" w:hAnsi="Palatino Linotype"/>
          <w:sz w:val="24"/>
          <w:szCs w:val="24"/>
        </w:rPr>
        <w:t>y en el caso</w:t>
      </w:r>
      <w:r w:rsidR="0037144D">
        <w:rPr>
          <w:rFonts w:ascii="Palatino Linotype" w:hAnsi="Palatino Linotype"/>
          <w:sz w:val="24"/>
          <w:szCs w:val="24"/>
        </w:rPr>
        <w:t xml:space="preserve"> concreto</w:t>
      </w:r>
      <w:r w:rsidRPr="00C1792A">
        <w:rPr>
          <w:rFonts w:ascii="Palatino Linotype" w:hAnsi="Palatino Linotype"/>
          <w:sz w:val="24"/>
          <w:szCs w:val="24"/>
        </w:rPr>
        <w:t xml:space="preserve"> sobre el cual </w:t>
      </w:r>
      <w:r w:rsidR="0037144D">
        <w:rPr>
          <w:rFonts w:ascii="Palatino Linotype" w:hAnsi="Palatino Linotype"/>
          <w:sz w:val="24"/>
          <w:szCs w:val="24"/>
        </w:rPr>
        <w:t>emito</w:t>
      </w:r>
      <w:r w:rsidRPr="00C1792A">
        <w:rPr>
          <w:rFonts w:ascii="Palatino Linotype" w:hAnsi="Palatino Linotype"/>
          <w:sz w:val="24"/>
          <w:szCs w:val="24"/>
        </w:rPr>
        <w:t xml:space="preserve"> </w:t>
      </w:r>
      <w:r>
        <w:rPr>
          <w:rFonts w:ascii="Palatino Linotype" w:hAnsi="Palatino Linotype"/>
          <w:sz w:val="24"/>
          <w:szCs w:val="24"/>
        </w:rPr>
        <w:t>el</w:t>
      </w:r>
      <w:r w:rsidRPr="00C1792A">
        <w:rPr>
          <w:rFonts w:ascii="Palatino Linotype" w:hAnsi="Palatino Linotype"/>
          <w:sz w:val="24"/>
          <w:szCs w:val="24"/>
        </w:rPr>
        <w:t xml:space="preserve"> voto particular</w:t>
      </w:r>
      <w:r>
        <w:rPr>
          <w:rFonts w:ascii="Palatino Linotype" w:hAnsi="Palatino Linotype"/>
          <w:sz w:val="24"/>
          <w:szCs w:val="24"/>
        </w:rPr>
        <w:t xml:space="preserve"> concurrente</w:t>
      </w:r>
      <w:r w:rsidR="0037144D">
        <w:rPr>
          <w:rFonts w:ascii="Palatino Linotype" w:hAnsi="Palatino Linotype"/>
          <w:sz w:val="24"/>
          <w:szCs w:val="24"/>
        </w:rPr>
        <w:t>,</w:t>
      </w:r>
      <w:r w:rsidRPr="00C1792A">
        <w:rPr>
          <w:rFonts w:ascii="Palatino Linotype" w:hAnsi="Palatino Linotype"/>
          <w:sz w:val="24"/>
          <w:szCs w:val="24"/>
        </w:rPr>
        <w:t xml:space="preserve"> l</w:t>
      </w:r>
      <w:r w:rsidR="0037144D">
        <w:rPr>
          <w:rFonts w:ascii="Palatino Linotype" w:hAnsi="Palatino Linotype"/>
          <w:sz w:val="24"/>
          <w:szCs w:val="24"/>
        </w:rPr>
        <w:t>a</w:t>
      </w:r>
      <w:r w:rsidRPr="00C1792A">
        <w:rPr>
          <w:rFonts w:ascii="Palatino Linotype" w:hAnsi="Palatino Linotype"/>
          <w:sz w:val="24"/>
          <w:szCs w:val="24"/>
        </w:rPr>
        <w:t xml:space="preserve"> </w:t>
      </w:r>
      <w:r w:rsidRPr="00C1792A">
        <w:rPr>
          <w:rFonts w:ascii="Palatino Linotype" w:hAnsi="Palatino Linotype"/>
          <w:b/>
          <w:sz w:val="24"/>
          <w:szCs w:val="24"/>
        </w:rPr>
        <w:t xml:space="preserve">RECURRENTE, </w:t>
      </w:r>
      <w:r w:rsidRPr="00C1792A">
        <w:rPr>
          <w:rFonts w:ascii="Palatino Linotype" w:hAnsi="Palatino Linotype"/>
          <w:sz w:val="24"/>
          <w:szCs w:val="24"/>
        </w:rPr>
        <w:t>al formular la solicitud de información, requirió que la misma se le entregara vía SAIMEX, no así en copias simples o c</w:t>
      </w:r>
      <w:r w:rsidR="0037144D">
        <w:rPr>
          <w:rFonts w:ascii="Palatino Linotype" w:hAnsi="Palatino Linotype"/>
          <w:sz w:val="24"/>
          <w:szCs w:val="24"/>
        </w:rPr>
        <w:t>opias certificadas (con costo).</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3E1591" w:rsidRDefault="003E1591"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t xml:space="preserve">Del mismo modo, no se debe ignorar que el Archivo General de la Nación, dentro de sus </w:t>
      </w:r>
      <w:r>
        <w:rPr>
          <w:rFonts w:ascii="Palatino Linotype" w:hAnsi="Palatino Linotype"/>
          <w:b/>
          <w:i/>
          <w:sz w:val="24"/>
          <w:szCs w:val="24"/>
        </w:rPr>
        <w:t>Recomendaciones para proyectos de digitalización de documentos</w:t>
      </w:r>
      <w:r>
        <w:rPr>
          <w:rFonts w:ascii="Palatino Linotype" w:hAnsi="Palatino Linotype"/>
          <w:sz w:val="24"/>
          <w:szCs w:val="24"/>
        </w:rPr>
        <w:t>, concibe al objeto de digitalización de la siguiente manera:</w:t>
      </w:r>
    </w:p>
    <w:p w:rsidR="003E1591" w:rsidRDefault="003E1591" w:rsidP="003E1591">
      <w:pPr>
        <w:pStyle w:val="Prrafodelista"/>
        <w:spacing w:before="240" w:after="240" w:line="360" w:lineRule="auto"/>
        <w:ind w:left="851" w:right="567"/>
        <w:jc w:val="both"/>
        <w:rPr>
          <w:rFonts w:ascii="Palatino Linotype" w:hAnsi="Palatino Linotype"/>
          <w:sz w:val="24"/>
          <w:szCs w:val="24"/>
        </w:rPr>
      </w:pPr>
      <w:r>
        <w:rPr>
          <w:rFonts w:ascii="Palatino Linotype" w:hAnsi="Palatino Linotype"/>
          <w:i/>
          <w:sz w:val="24"/>
          <w:szCs w:val="24"/>
        </w:rPr>
        <w:t>“</w:t>
      </w:r>
      <w:r w:rsidRPr="003E1591">
        <w:rPr>
          <w:rFonts w:ascii="Palatino Linotype" w:hAnsi="Palatino Linotype"/>
          <w:i/>
          <w:sz w:val="24"/>
          <w:szCs w:val="24"/>
        </w:rPr>
        <w:t>El fin de un proyecto como éste</w:t>
      </w:r>
      <w:r>
        <w:rPr>
          <w:rFonts w:ascii="Palatino Linotype" w:hAnsi="Palatino Linotype"/>
          <w:i/>
          <w:sz w:val="24"/>
          <w:szCs w:val="24"/>
        </w:rPr>
        <w:t xml:space="preserve"> </w:t>
      </w:r>
      <w:r>
        <w:rPr>
          <w:rFonts w:ascii="Palatino Linotype" w:hAnsi="Palatino Linotype"/>
          <w:sz w:val="24"/>
          <w:szCs w:val="24"/>
        </w:rPr>
        <w:t>(proyecto de digitalización)</w:t>
      </w:r>
      <w:r w:rsidRPr="003E1591">
        <w:rPr>
          <w:rFonts w:ascii="Palatino Linotype" w:hAnsi="Palatino Linotype"/>
          <w:i/>
          <w:sz w:val="24"/>
          <w:szCs w:val="24"/>
        </w:rPr>
        <w:t xml:space="preserve"> es digitalizar una sola vez los documentos y utilizar el archivo obtenido para diversos propósitos; por ello se debe definir desde la planeación una digitalización estandarizada, clasificada y con óptima calidad, para garantizar que cada </w:t>
      </w:r>
      <w:r w:rsidRPr="003E1591">
        <w:rPr>
          <w:rFonts w:ascii="Palatino Linotype" w:hAnsi="Palatino Linotype"/>
          <w:i/>
          <w:sz w:val="24"/>
          <w:szCs w:val="24"/>
        </w:rPr>
        <w:lastRenderedPageBreak/>
        <w:t>archivo se pueda utilizar para nuevos requerimientos, sin necesidad de volver a digitalizarlo.</w:t>
      </w:r>
      <w:r>
        <w:rPr>
          <w:rFonts w:ascii="Palatino Linotype" w:hAnsi="Palatino Linotype"/>
          <w:i/>
          <w:sz w:val="24"/>
          <w:szCs w:val="24"/>
        </w:rPr>
        <w:t>”</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3E1591" w:rsidRDefault="003E1591"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t>De lo anterior se entiende que el digitalizar documentos no se debe entender como una actividad concebida únicamente para dar atención a una solicitud de información, sino como una oportunidad que tienen los Sujetos Obligados para asegurar en un medio digital su información física y poder hacer uso de la misma en oportunidades futuras.</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2937C6" w:rsidRDefault="002937C6"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t>En ese entendido</w:t>
      </w:r>
      <w:r w:rsidR="003E1591">
        <w:rPr>
          <w:rFonts w:ascii="Palatino Linotype" w:hAnsi="Palatino Linotype"/>
          <w:sz w:val="24"/>
          <w:szCs w:val="24"/>
        </w:rPr>
        <w:t>, como Comisionados de éste Órgano Gar</w:t>
      </w:r>
      <w:r>
        <w:rPr>
          <w:rFonts w:ascii="Palatino Linotype" w:hAnsi="Palatino Linotype"/>
          <w:sz w:val="24"/>
          <w:szCs w:val="24"/>
        </w:rPr>
        <w:t xml:space="preserve">ante, deberíamos ver a la fracción VI del numeral 73 del Código Financiero del Estado de México como un retroceso en la evolución de la transparencia y acceso a la información pública, ello en virtud de que el pretender cobrar a los particulares una cantidad monetaria por digitalizar documentos sólo generará como consecuencia que los Sujetos Obligados disminuyan sus proyectos de digitalización de documentos </w:t>
      </w:r>
      <w:r w:rsidR="001C66F8">
        <w:rPr>
          <w:rFonts w:ascii="Palatino Linotype" w:hAnsi="Palatino Linotype"/>
          <w:sz w:val="24"/>
          <w:szCs w:val="24"/>
        </w:rPr>
        <w:t>en aras de</w:t>
      </w:r>
      <w:r>
        <w:rPr>
          <w:rFonts w:ascii="Palatino Linotype" w:hAnsi="Palatino Linotype"/>
          <w:sz w:val="24"/>
          <w:szCs w:val="24"/>
        </w:rPr>
        <w:t xml:space="preserve"> esperar a que una solicitud de información solicite datos públicos contenidos en sus acervos físicos y sea hasta ese momento </w:t>
      </w:r>
      <w:r w:rsidR="001C66F8">
        <w:rPr>
          <w:rFonts w:ascii="Palatino Linotype" w:hAnsi="Palatino Linotype"/>
          <w:sz w:val="24"/>
          <w:szCs w:val="24"/>
        </w:rPr>
        <w:t>en que se digitalicen</w:t>
      </w:r>
      <w:r>
        <w:rPr>
          <w:rFonts w:ascii="Palatino Linotype" w:hAnsi="Palatino Linotype"/>
          <w:sz w:val="24"/>
          <w:szCs w:val="24"/>
        </w:rPr>
        <w:t xml:space="preserve"> </w:t>
      </w:r>
      <w:r w:rsidR="001C66F8">
        <w:rPr>
          <w:rFonts w:ascii="Palatino Linotype" w:hAnsi="Palatino Linotype"/>
          <w:sz w:val="24"/>
          <w:szCs w:val="24"/>
        </w:rPr>
        <w:t xml:space="preserve">previo pago de impuestos, los cuales resultan a todas luces </w:t>
      </w:r>
      <w:r>
        <w:rPr>
          <w:rFonts w:ascii="Palatino Linotype" w:hAnsi="Palatino Linotype"/>
          <w:sz w:val="24"/>
          <w:szCs w:val="24"/>
        </w:rPr>
        <w:t>contrarios a</w:t>
      </w:r>
      <w:r w:rsidR="001C66F8">
        <w:rPr>
          <w:rFonts w:ascii="Palatino Linotype" w:hAnsi="Palatino Linotype"/>
          <w:sz w:val="24"/>
          <w:szCs w:val="24"/>
        </w:rPr>
        <w:t xml:space="preserve"> los principios de </w:t>
      </w:r>
      <w:r w:rsidR="001C66F8">
        <w:rPr>
          <w:rFonts w:ascii="Palatino Linotype" w:hAnsi="Palatino Linotype"/>
          <w:b/>
          <w:sz w:val="24"/>
          <w:szCs w:val="24"/>
        </w:rPr>
        <w:t>máxima publicidad</w:t>
      </w:r>
      <w:r w:rsidR="001C66F8">
        <w:rPr>
          <w:rFonts w:ascii="Palatino Linotype" w:hAnsi="Palatino Linotype"/>
          <w:sz w:val="24"/>
          <w:szCs w:val="24"/>
        </w:rPr>
        <w:t xml:space="preserve"> y </w:t>
      </w:r>
      <w:r w:rsidR="001C66F8">
        <w:rPr>
          <w:rFonts w:ascii="Palatino Linotype" w:hAnsi="Palatino Linotype"/>
          <w:b/>
          <w:sz w:val="24"/>
          <w:szCs w:val="24"/>
        </w:rPr>
        <w:t>gratuidad.</w:t>
      </w:r>
    </w:p>
    <w:p w:rsidR="002937C6" w:rsidRPr="002937C6" w:rsidRDefault="002937C6" w:rsidP="002937C6">
      <w:pPr>
        <w:pStyle w:val="Prrafodelista"/>
        <w:spacing w:before="240" w:after="240" w:line="360" w:lineRule="auto"/>
        <w:ind w:left="360"/>
        <w:jc w:val="both"/>
        <w:rPr>
          <w:rFonts w:ascii="Palatino Linotype" w:hAnsi="Palatino Linotype" w:cs="Arial"/>
          <w:bCs/>
          <w:sz w:val="24"/>
          <w:szCs w:val="24"/>
        </w:rPr>
      </w:pPr>
    </w:p>
    <w:p w:rsidR="002937C6" w:rsidRDefault="001C66F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Robustece lo anterior </w:t>
      </w:r>
      <w:r w:rsidR="006B7892">
        <w:rPr>
          <w:rFonts w:ascii="Palatino Linotype" w:hAnsi="Palatino Linotype" w:cs="Arial"/>
          <w:bCs/>
          <w:sz w:val="24"/>
          <w:szCs w:val="24"/>
        </w:rPr>
        <w:t xml:space="preserve">las palabras del entonces Comisionado Presidente del Instituto de Transparencia y Acceso a la Información Pública del Estado de </w:t>
      </w:r>
      <w:r w:rsidR="006B7892">
        <w:rPr>
          <w:rFonts w:ascii="Palatino Linotype" w:hAnsi="Palatino Linotype" w:cs="Arial"/>
          <w:bCs/>
          <w:sz w:val="24"/>
          <w:szCs w:val="24"/>
        </w:rPr>
        <w:lastRenderedPageBreak/>
        <w:t xml:space="preserve">México y Municipios, Eugenio Monterrey </w:t>
      </w:r>
      <w:proofErr w:type="spellStart"/>
      <w:r w:rsidR="006B7892">
        <w:rPr>
          <w:rFonts w:ascii="Palatino Linotype" w:hAnsi="Palatino Linotype" w:cs="Arial"/>
          <w:bCs/>
          <w:sz w:val="24"/>
          <w:szCs w:val="24"/>
        </w:rPr>
        <w:t>Chepov</w:t>
      </w:r>
      <w:proofErr w:type="spellEnd"/>
      <w:r w:rsidR="006B7892">
        <w:rPr>
          <w:rFonts w:ascii="Palatino Linotype" w:hAnsi="Palatino Linotype" w:cs="Arial"/>
          <w:bCs/>
          <w:sz w:val="24"/>
          <w:szCs w:val="24"/>
        </w:rPr>
        <w:t>, dentro del oficio número BOLETÍN/DCCS/030/2012, de veintiséis (26) de febrero de dos mil doce, dentro del cual, expresó lo siguiente:</w:t>
      </w:r>
    </w:p>
    <w:p w:rsidR="00F751F9" w:rsidRPr="00F751F9" w:rsidRDefault="00F751F9" w:rsidP="00F751F9">
      <w:pPr>
        <w:pStyle w:val="Prrafodelista"/>
        <w:rPr>
          <w:rFonts w:ascii="Palatino Linotype" w:hAnsi="Palatino Linotype" w:cs="Arial"/>
          <w:bCs/>
          <w:sz w:val="24"/>
          <w:szCs w:val="24"/>
        </w:rPr>
      </w:pPr>
    </w:p>
    <w:p w:rsidR="006B7892" w:rsidRDefault="006B7892" w:rsidP="006B7892">
      <w:pPr>
        <w:pStyle w:val="Prrafodelista"/>
        <w:spacing w:before="240" w:after="240" w:line="360" w:lineRule="auto"/>
        <w:ind w:left="851" w:right="567"/>
        <w:jc w:val="both"/>
        <w:rPr>
          <w:rFonts w:ascii="Palatino Linotype" w:hAnsi="Palatino Linotype" w:cs="Arial"/>
          <w:bCs/>
          <w:sz w:val="24"/>
          <w:szCs w:val="24"/>
        </w:rPr>
      </w:pPr>
      <w:r w:rsidRPr="006B7892">
        <w:rPr>
          <w:rFonts w:ascii="Palatino Linotype" w:hAnsi="Palatino Linotype" w:cs="Arial"/>
          <w:bCs/>
          <w:i/>
          <w:sz w:val="24"/>
          <w:szCs w:val="24"/>
        </w:rPr>
        <w:t xml:space="preserve">“Es preciso enfatizar que el acceso a la información no tiene costo alguno, pues se trata de un derecho regido por la gratuidad, dada su importancia para los regímenes democráticos. El Código Financiero fija tarifas según la modalidad de entrega de los documentos generados o custodiados por las instituciones, lo cual indica que </w:t>
      </w:r>
      <w:r w:rsidRPr="006B7892">
        <w:rPr>
          <w:rFonts w:ascii="Palatino Linotype" w:hAnsi="Palatino Linotype" w:cs="Arial"/>
          <w:b/>
          <w:bCs/>
          <w:i/>
          <w:sz w:val="24"/>
          <w:szCs w:val="24"/>
        </w:rPr>
        <w:t>no se cobra por la información, sino por el soporte que la contiene</w:t>
      </w:r>
      <w:r w:rsidRPr="006B7892">
        <w:rPr>
          <w:rFonts w:ascii="Palatino Linotype" w:hAnsi="Palatino Linotype" w:cs="Arial"/>
          <w:bCs/>
          <w:i/>
          <w:sz w:val="24"/>
          <w:szCs w:val="24"/>
        </w:rPr>
        <w:t>”</w:t>
      </w:r>
      <w:r>
        <w:rPr>
          <w:rFonts w:ascii="Palatino Linotype" w:hAnsi="Palatino Linotype" w:cs="Arial"/>
          <w:bCs/>
          <w:sz w:val="24"/>
          <w:szCs w:val="24"/>
        </w:rPr>
        <w:t xml:space="preserve"> (Sic).</w:t>
      </w:r>
    </w:p>
    <w:p w:rsidR="00B62D68" w:rsidRPr="006B7892" w:rsidRDefault="00B62D68" w:rsidP="006B7892">
      <w:pPr>
        <w:pStyle w:val="Prrafodelista"/>
        <w:spacing w:before="240" w:after="240" w:line="360" w:lineRule="auto"/>
        <w:ind w:left="851" w:right="567"/>
        <w:jc w:val="both"/>
        <w:rPr>
          <w:rFonts w:ascii="Palatino Linotype" w:hAnsi="Palatino Linotype" w:cs="Arial"/>
          <w:bCs/>
          <w:sz w:val="24"/>
          <w:szCs w:val="24"/>
        </w:rPr>
      </w:pPr>
      <w:r>
        <w:rPr>
          <w:rFonts w:ascii="Palatino Linotype" w:hAnsi="Palatino Linotype" w:cs="Arial"/>
          <w:bCs/>
          <w:sz w:val="24"/>
          <w:szCs w:val="24"/>
        </w:rPr>
        <w:t>(Énfasis añadido)</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Default="00B62D6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Así las cosas, debo recalcar que </w:t>
      </w:r>
      <w:r w:rsidR="00F751F9">
        <w:rPr>
          <w:rFonts w:ascii="Palatino Linotype" w:hAnsi="Palatino Linotype" w:cs="Arial"/>
          <w:bCs/>
          <w:sz w:val="24"/>
          <w:szCs w:val="24"/>
        </w:rPr>
        <w:t>nuestras</w:t>
      </w:r>
      <w:r>
        <w:rPr>
          <w:rFonts w:ascii="Palatino Linotype" w:hAnsi="Palatino Linotype" w:cs="Arial"/>
          <w:bCs/>
          <w:sz w:val="24"/>
          <w:szCs w:val="24"/>
        </w:rPr>
        <w:t xml:space="preserve"> Ponencia</w:t>
      </w:r>
      <w:r w:rsidR="00F751F9">
        <w:rPr>
          <w:rFonts w:ascii="Palatino Linotype" w:hAnsi="Palatino Linotype" w:cs="Arial"/>
          <w:bCs/>
          <w:sz w:val="24"/>
          <w:szCs w:val="24"/>
        </w:rPr>
        <w:t>s</w:t>
      </w:r>
      <w:r>
        <w:rPr>
          <w:rFonts w:ascii="Palatino Linotype" w:hAnsi="Palatino Linotype" w:cs="Arial"/>
          <w:bCs/>
          <w:sz w:val="24"/>
          <w:szCs w:val="24"/>
        </w:rPr>
        <w:t xml:space="preserve"> no busca</w:t>
      </w:r>
      <w:r w:rsidR="00F751F9">
        <w:rPr>
          <w:rFonts w:ascii="Palatino Linotype" w:hAnsi="Palatino Linotype" w:cs="Arial"/>
          <w:bCs/>
          <w:sz w:val="24"/>
          <w:szCs w:val="24"/>
        </w:rPr>
        <w:t>n</w:t>
      </w:r>
      <w:r>
        <w:rPr>
          <w:rFonts w:ascii="Palatino Linotype" w:hAnsi="Palatino Linotype" w:cs="Arial"/>
          <w:bCs/>
          <w:sz w:val="24"/>
          <w:szCs w:val="24"/>
        </w:rPr>
        <w:t xml:space="preserve"> procurar la gratuidad del acceso a la información como justificante para que los particulares hagan uso indiferente del material administrativo de los Sujetos Obligados, entendiéndose con esto papel, sellos, discos compactos, etcétera. Sino que, la entrega de la información a través del Sistema de Acceso a la Información, debe entenderse siempre como un medio gratuito por medio del cual la ciudadanía pueda acceder a la información de las autoridades administrativas al ser </w:t>
      </w:r>
      <w:r w:rsidR="00926F65">
        <w:rPr>
          <w:rFonts w:ascii="Palatino Linotype" w:hAnsi="Palatino Linotype" w:cs="Arial"/>
          <w:bCs/>
          <w:sz w:val="24"/>
          <w:szCs w:val="24"/>
        </w:rPr>
        <w:t>el</w:t>
      </w:r>
      <w:r>
        <w:rPr>
          <w:rFonts w:ascii="Palatino Linotype" w:hAnsi="Palatino Linotype" w:cs="Arial"/>
          <w:bCs/>
          <w:sz w:val="24"/>
          <w:szCs w:val="24"/>
        </w:rPr>
        <w:t xml:space="preserve"> medio </w:t>
      </w:r>
      <w:r w:rsidR="00926F65">
        <w:rPr>
          <w:rFonts w:ascii="Palatino Linotype" w:hAnsi="Palatino Linotype" w:cs="Arial"/>
          <w:bCs/>
          <w:sz w:val="24"/>
          <w:szCs w:val="24"/>
        </w:rPr>
        <w:t>idóneo</w:t>
      </w:r>
      <w:r>
        <w:rPr>
          <w:rFonts w:ascii="Palatino Linotype" w:hAnsi="Palatino Linotype" w:cs="Arial"/>
          <w:bCs/>
          <w:sz w:val="24"/>
          <w:szCs w:val="24"/>
        </w:rPr>
        <w:t xml:space="preserve"> por el cual no se eroga ningún gasto más que el uso de </w:t>
      </w:r>
      <w:r w:rsidR="00926F65">
        <w:rPr>
          <w:rFonts w:ascii="Palatino Linotype" w:hAnsi="Palatino Linotype" w:cs="Arial"/>
          <w:bCs/>
          <w:sz w:val="24"/>
          <w:szCs w:val="24"/>
        </w:rPr>
        <w:t xml:space="preserve">electricidad </w:t>
      </w:r>
      <w:r>
        <w:rPr>
          <w:rFonts w:ascii="Palatino Linotype" w:hAnsi="Palatino Linotype" w:cs="Arial"/>
          <w:bCs/>
          <w:sz w:val="24"/>
          <w:szCs w:val="24"/>
        </w:rPr>
        <w:t>por parte de los Sujetos Obligados.</w:t>
      </w:r>
    </w:p>
    <w:p w:rsidR="00F751F9" w:rsidRDefault="00F751F9" w:rsidP="00F751F9">
      <w:pPr>
        <w:pStyle w:val="Prrafodelista"/>
        <w:spacing w:before="240" w:after="240" w:line="360" w:lineRule="auto"/>
        <w:ind w:left="360"/>
        <w:jc w:val="both"/>
        <w:rPr>
          <w:rFonts w:ascii="Palatino Linotype" w:hAnsi="Palatino Linotype" w:cs="Arial"/>
          <w:bCs/>
          <w:sz w:val="24"/>
          <w:szCs w:val="24"/>
        </w:rPr>
      </w:pPr>
    </w:p>
    <w:p w:rsidR="002770E2" w:rsidRDefault="00B62D6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lastRenderedPageBreak/>
        <w:t>Luego entonces</w:t>
      </w:r>
      <w:r w:rsidR="002770E2">
        <w:rPr>
          <w:rFonts w:ascii="Palatino Linotype" w:hAnsi="Palatino Linotype" w:cs="Arial"/>
          <w:bCs/>
          <w:sz w:val="24"/>
          <w:szCs w:val="24"/>
        </w:rPr>
        <w:t xml:space="preserve">, es de señalar que la </w:t>
      </w:r>
      <w:r w:rsidR="0037144D">
        <w:rPr>
          <w:rFonts w:ascii="Palatino Linotype" w:hAnsi="Palatino Linotype" w:cs="Arial"/>
          <w:b/>
          <w:bCs/>
          <w:sz w:val="24"/>
          <w:szCs w:val="24"/>
        </w:rPr>
        <w:t>Universidad Politécnica del Valle de Toluca</w:t>
      </w:r>
      <w:r w:rsidR="002770E2">
        <w:rPr>
          <w:rFonts w:ascii="Palatino Linotype" w:hAnsi="Palatino Linotype" w:cs="Arial"/>
          <w:b/>
          <w:bCs/>
          <w:sz w:val="24"/>
          <w:szCs w:val="24"/>
        </w:rPr>
        <w:t xml:space="preserve"> </w:t>
      </w:r>
      <w:r w:rsidR="002770E2">
        <w:rPr>
          <w:rFonts w:ascii="Palatino Linotype" w:hAnsi="Palatino Linotype" w:cs="Arial"/>
          <w:bCs/>
          <w:sz w:val="24"/>
          <w:szCs w:val="24"/>
        </w:rPr>
        <w:t>es un Organismo Públic</w:t>
      </w:r>
      <w:r w:rsidR="0037144D">
        <w:rPr>
          <w:rFonts w:ascii="Palatino Linotype" w:hAnsi="Palatino Linotype" w:cs="Arial"/>
          <w:bCs/>
          <w:sz w:val="24"/>
          <w:szCs w:val="24"/>
        </w:rPr>
        <w:t>o</w:t>
      </w:r>
      <w:r w:rsidR="002770E2">
        <w:rPr>
          <w:rFonts w:ascii="Palatino Linotype" w:hAnsi="Palatino Linotype" w:cs="Arial"/>
          <w:bCs/>
          <w:sz w:val="24"/>
          <w:szCs w:val="24"/>
        </w:rPr>
        <w:t xml:space="preserve"> Descentralizado</w:t>
      </w:r>
      <w:r w:rsidR="0037144D">
        <w:rPr>
          <w:rFonts w:ascii="Palatino Linotype" w:hAnsi="Palatino Linotype" w:cs="Arial"/>
          <w:bCs/>
          <w:sz w:val="24"/>
          <w:szCs w:val="24"/>
        </w:rPr>
        <w:t xml:space="preserve"> de carácter Estatal</w:t>
      </w:r>
      <w:r w:rsidR="002770E2">
        <w:rPr>
          <w:rFonts w:ascii="Palatino Linotype" w:hAnsi="Palatino Linotype" w:cs="Arial"/>
          <w:bCs/>
          <w:sz w:val="24"/>
          <w:szCs w:val="24"/>
        </w:rPr>
        <w:t>, al que se le asigna un presupuesto destinado a satisfacer las necesidades de los mexiquenses, mediante la planeación y programación coordinada con las dependencias gubernamentales, fede</w:t>
      </w:r>
      <w:r w:rsidR="00C878B6">
        <w:rPr>
          <w:rFonts w:ascii="Palatino Linotype" w:hAnsi="Palatino Linotype" w:cs="Arial"/>
          <w:bCs/>
          <w:sz w:val="24"/>
          <w:szCs w:val="24"/>
        </w:rPr>
        <w:t>rales, estatales y municipales; y que bajo ésas consideraciones, no debería tener impedimento tecnológico o administrativo para otorgar la información digitalizada.</w:t>
      </w:r>
    </w:p>
    <w:p w:rsidR="00F751F9" w:rsidRPr="00F751F9" w:rsidRDefault="00F751F9" w:rsidP="00F751F9">
      <w:pPr>
        <w:pStyle w:val="Prrafodelista"/>
        <w:rPr>
          <w:rFonts w:ascii="Palatino Linotype" w:hAnsi="Palatino Linotype" w:cs="Arial"/>
          <w:bCs/>
          <w:sz w:val="24"/>
          <w:szCs w:val="24"/>
        </w:rPr>
      </w:pPr>
    </w:p>
    <w:p w:rsidR="00E43E11" w:rsidRPr="00E43E11" w:rsidRDefault="00E43E11" w:rsidP="00E43E11">
      <w:pPr>
        <w:pStyle w:val="Ttulo1"/>
      </w:pPr>
      <w:bookmarkStart w:id="5" w:name="_Toc535844194"/>
      <w:r w:rsidRPr="00E43E11">
        <w:rPr>
          <w:rFonts w:cs="Arial"/>
          <w:bCs/>
          <w:color w:val="auto"/>
          <w:szCs w:val="24"/>
        </w:rPr>
        <w:t xml:space="preserve">V. Del principio </w:t>
      </w:r>
      <w:proofErr w:type="spellStart"/>
      <w:r w:rsidRPr="00E43E11">
        <w:rPr>
          <w:rFonts w:cs="Arial"/>
          <w:bCs/>
          <w:i/>
          <w:color w:val="auto"/>
          <w:szCs w:val="24"/>
        </w:rPr>
        <w:t>pro</w:t>
      </w:r>
      <w:proofErr w:type="spellEnd"/>
      <w:r w:rsidRPr="00E43E11">
        <w:rPr>
          <w:rFonts w:cs="Arial"/>
          <w:bCs/>
          <w:i/>
          <w:color w:val="auto"/>
          <w:szCs w:val="24"/>
        </w:rPr>
        <w:t xml:space="preserve"> persona</w:t>
      </w:r>
      <w:r w:rsidR="00DE60FA">
        <w:rPr>
          <w:rFonts w:cs="Arial"/>
          <w:bCs/>
          <w:i/>
          <w:color w:val="auto"/>
          <w:szCs w:val="24"/>
        </w:rPr>
        <w:t>.</w:t>
      </w:r>
      <w:bookmarkEnd w:id="5"/>
    </w:p>
    <w:p w:rsidR="007317E8" w:rsidRPr="007317E8" w:rsidRDefault="007317E8" w:rsidP="007317E8">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Una vez precisado lo anterior, </w:t>
      </w:r>
      <w:r w:rsidRPr="007317E8">
        <w:rPr>
          <w:rFonts w:ascii="Palatino Linotype" w:hAnsi="Palatino Linotype" w:cs="Arial"/>
          <w:bCs/>
          <w:sz w:val="24"/>
          <w:szCs w:val="24"/>
        </w:rPr>
        <w:t>hay que precisar que de conformidad con el texto vigente del artículo 1º, párrafos primero, segundo y tercero, de la Constitución Política de los Estados Unidos Mexicanos, existen dos fuentes originarias de los derechos humanos:</w:t>
      </w:r>
    </w:p>
    <w:p w:rsidR="007317E8" w:rsidRPr="007317E8" w:rsidRDefault="007317E8" w:rsidP="007317E8">
      <w:pPr>
        <w:pStyle w:val="Prrafodelista"/>
        <w:numPr>
          <w:ilvl w:val="1"/>
          <w:numId w:val="1"/>
        </w:numPr>
        <w:spacing w:before="240" w:after="240" w:line="360" w:lineRule="auto"/>
        <w:jc w:val="both"/>
        <w:rPr>
          <w:rFonts w:ascii="Palatino Linotype" w:hAnsi="Palatino Linotype" w:cs="Arial"/>
          <w:bCs/>
          <w:sz w:val="24"/>
          <w:szCs w:val="24"/>
        </w:rPr>
      </w:pPr>
      <w:r w:rsidRPr="007317E8">
        <w:rPr>
          <w:rFonts w:ascii="Palatino Linotype" w:hAnsi="Palatino Linotype" w:cs="Arial"/>
          <w:bCs/>
          <w:sz w:val="24"/>
          <w:szCs w:val="24"/>
        </w:rPr>
        <w:t>Los derechos humanos reconocidos expresamente en la Constitución.</w:t>
      </w:r>
    </w:p>
    <w:p w:rsidR="007317E8" w:rsidRPr="007317E8" w:rsidRDefault="007317E8" w:rsidP="007317E8">
      <w:pPr>
        <w:pStyle w:val="Prrafodelista"/>
        <w:numPr>
          <w:ilvl w:val="1"/>
          <w:numId w:val="1"/>
        </w:numPr>
        <w:spacing w:before="240" w:after="240" w:line="360" w:lineRule="auto"/>
        <w:jc w:val="both"/>
        <w:rPr>
          <w:rFonts w:ascii="Palatino Linotype" w:hAnsi="Palatino Linotype" w:cs="Arial"/>
          <w:bCs/>
          <w:sz w:val="24"/>
          <w:szCs w:val="24"/>
        </w:rPr>
      </w:pPr>
      <w:r w:rsidRPr="007317E8">
        <w:rPr>
          <w:rFonts w:ascii="Palatino Linotype" w:hAnsi="Palatino Linotype" w:cs="Arial"/>
          <w:bCs/>
          <w:sz w:val="24"/>
          <w:szCs w:val="24"/>
        </w:rPr>
        <w:t>Los derechos humanos establecidos en los tratados internacionales firmados y ratificados por México.</w:t>
      </w:r>
    </w:p>
    <w:p w:rsidR="007317E8" w:rsidRPr="00DC3467" w:rsidRDefault="007317E8" w:rsidP="007317E8">
      <w:pPr>
        <w:pStyle w:val="Sinespaciado"/>
        <w:ind w:left="851" w:right="567"/>
        <w:jc w:val="both"/>
        <w:rPr>
          <w:rFonts w:ascii="Palatino Linotype" w:hAnsi="Palatino Linotype"/>
          <w:i/>
          <w:sz w:val="24"/>
        </w:rPr>
      </w:pPr>
      <w:r w:rsidRPr="00DC3467">
        <w:rPr>
          <w:rFonts w:ascii="Palatino Linotype" w:hAnsi="Palatino Linotype"/>
          <w:b/>
          <w:i/>
          <w:sz w:val="24"/>
        </w:rPr>
        <w:t>“Artículo 1o.</w:t>
      </w:r>
      <w:r w:rsidRPr="00DC3467">
        <w:rPr>
          <w:rFonts w:ascii="Palatino Linotype" w:hAnsi="Palatino Linotype"/>
          <w:i/>
          <w:sz w:val="24"/>
        </w:rPr>
        <w:t xml:space="preserve"> En los Estados Unidos Mexicanos </w:t>
      </w:r>
      <w:r w:rsidRPr="00DC3467">
        <w:rPr>
          <w:rFonts w:ascii="Palatino Linotype" w:hAnsi="Palatino Linotype"/>
          <w:i/>
          <w:sz w:val="24"/>
          <w:u w:val="single"/>
        </w:rPr>
        <w:t>todas las personas gozarán de los derechos humanos reconocidos en esta Constitución y en los tratados internacionales de los que el Estado Mexicano sea parte</w:t>
      </w:r>
      <w:r w:rsidRPr="00DC3467">
        <w:rPr>
          <w:rFonts w:ascii="Palatino Linotype" w:hAnsi="Palatino Linotype"/>
          <w:i/>
          <w:sz w:val="24"/>
        </w:rPr>
        <w:t>, así como de las garantías para su protección, cuyo ejercicio no podrá restringirse ni suspenderse, salvo en los casos y bajo las condiciones que esta Constitución establece.</w:t>
      </w:r>
    </w:p>
    <w:p w:rsidR="007317E8" w:rsidRPr="00DC3467" w:rsidRDefault="007317E8" w:rsidP="007317E8">
      <w:pPr>
        <w:pStyle w:val="Sinespaciado"/>
        <w:ind w:left="851" w:right="567"/>
        <w:jc w:val="both"/>
        <w:rPr>
          <w:rFonts w:ascii="Palatino Linotype" w:hAnsi="Palatino Linotype"/>
          <w:i/>
          <w:sz w:val="24"/>
        </w:rPr>
      </w:pPr>
    </w:p>
    <w:p w:rsidR="007317E8" w:rsidRPr="00DC3467" w:rsidRDefault="007317E8" w:rsidP="007317E8">
      <w:pPr>
        <w:pStyle w:val="Sinespaciado"/>
        <w:ind w:left="851" w:right="567"/>
        <w:jc w:val="both"/>
        <w:rPr>
          <w:rFonts w:ascii="Palatino Linotype" w:hAnsi="Palatino Linotype"/>
          <w:b/>
          <w:i/>
          <w:sz w:val="24"/>
        </w:rPr>
      </w:pPr>
      <w:r w:rsidRPr="00DC3467">
        <w:rPr>
          <w:rFonts w:ascii="Palatino Linotype" w:hAnsi="Palatino Linotype"/>
          <w:b/>
          <w:i/>
          <w:sz w:val="24"/>
        </w:rPr>
        <w:lastRenderedPageBreak/>
        <w:t>Las normas relativas a los derechos humanos se interpretarán de conformidad con esta Constitución y con los tratados internacionales de la materia favoreciendo en todo tiempo a las personas la protección más amplia.</w:t>
      </w:r>
    </w:p>
    <w:p w:rsidR="007317E8" w:rsidRPr="00DC3467" w:rsidRDefault="007317E8" w:rsidP="007317E8">
      <w:pPr>
        <w:pStyle w:val="Sinespaciado"/>
        <w:ind w:left="851" w:right="567"/>
        <w:jc w:val="both"/>
        <w:rPr>
          <w:rFonts w:ascii="Palatino Linotype" w:hAnsi="Palatino Linotype"/>
          <w:i/>
          <w:sz w:val="24"/>
        </w:rPr>
      </w:pPr>
    </w:p>
    <w:p w:rsidR="007317E8" w:rsidRPr="00DC3467" w:rsidRDefault="007317E8" w:rsidP="007317E8">
      <w:pPr>
        <w:pStyle w:val="Sinespaciado"/>
        <w:ind w:left="851" w:right="567"/>
        <w:jc w:val="both"/>
        <w:rPr>
          <w:rFonts w:ascii="Palatino Linotype" w:hAnsi="Palatino Linotype"/>
          <w:i/>
          <w:sz w:val="24"/>
        </w:rPr>
      </w:pPr>
      <w:r w:rsidRPr="00DC3467">
        <w:rPr>
          <w:rFonts w:ascii="Palatino Linotype" w:hAnsi="Palatino Linotype"/>
          <w:i/>
          <w:sz w:val="24"/>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C3467">
        <w:rPr>
          <w:rFonts w:ascii="Palatino Linotype" w:hAnsi="Palatino Linotype"/>
          <w:i/>
          <w:sz w:val="24"/>
        </w:rPr>
        <w:t xml:space="preserve"> En consecuencia, el Estado deberá prevenir, investigar, sancionar y reparar las violaciones a los derechos humanos, en los términos que establezca la ley. </w:t>
      </w:r>
    </w:p>
    <w:p w:rsidR="00E43E11" w:rsidRPr="00DC3467" w:rsidRDefault="007317E8" w:rsidP="007317E8">
      <w:pPr>
        <w:pStyle w:val="Sinespaciado"/>
        <w:ind w:left="851" w:right="567"/>
        <w:jc w:val="both"/>
        <w:rPr>
          <w:rFonts w:ascii="Palatino Linotype" w:hAnsi="Palatino Linotype"/>
          <w:i/>
          <w:sz w:val="24"/>
        </w:rPr>
      </w:pPr>
      <w:r w:rsidRPr="00DC3467">
        <w:rPr>
          <w:rFonts w:ascii="Palatino Linotype" w:hAnsi="Palatino Linotype"/>
          <w:i/>
          <w:sz w:val="24"/>
        </w:rPr>
        <w:t>(…)”</w:t>
      </w:r>
    </w:p>
    <w:p w:rsidR="002770E2" w:rsidRPr="00B263E7" w:rsidRDefault="002770E2" w:rsidP="002770E2">
      <w:pPr>
        <w:pStyle w:val="Prrafodelista"/>
        <w:rPr>
          <w:rFonts w:ascii="Palatino Linotype" w:hAnsi="Palatino Linotype" w:cs="Arial"/>
          <w:bCs/>
          <w:sz w:val="24"/>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 xml:space="preserve">La reforma al artículo 1° de la </w:t>
      </w:r>
      <w:r w:rsidRPr="00151D53">
        <w:rPr>
          <w:rFonts w:ascii="Palatino Linotype" w:hAnsi="Palatino Linotype" w:cs="Arial"/>
          <w:b/>
          <w:sz w:val="24"/>
        </w:rPr>
        <w:t>Constitución Política de los Estados Unidos Mexicanos</w:t>
      </w:r>
      <w:r w:rsidRPr="00151D53">
        <w:rPr>
          <w:rFonts w:ascii="Palatino Linotype" w:hAnsi="Palatino Linotype" w:cs="Arial"/>
          <w:sz w:val="24"/>
        </w:rPr>
        <w:t>, publicada en el Diario Oficial de la Federación el diez de junio de dos mil once, faculta a todas las autoridades en nuestro país, sin excepción, para proteger y garantizar los Derechos Humanos desde sus respectivos ámbitos competenciales.</w:t>
      </w:r>
    </w:p>
    <w:p w:rsidR="007317E8" w:rsidRPr="00151D53" w:rsidRDefault="007317E8" w:rsidP="007317E8">
      <w:pPr>
        <w:spacing w:after="0" w:line="360" w:lineRule="auto"/>
        <w:ind w:left="360"/>
        <w:contextualSpacing/>
        <w:jc w:val="both"/>
        <w:rPr>
          <w:rFonts w:ascii="Palatino Linotype" w:hAnsi="Palatino Linotype"/>
          <w:sz w:val="28"/>
          <w:szCs w:val="24"/>
        </w:rPr>
      </w:pPr>
    </w:p>
    <w:p w:rsidR="007317E8" w:rsidRPr="00061791" w:rsidRDefault="007317E8" w:rsidP="007317E8">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Esta reforma, no sólo implicó un cambio de denominación sino que con ella se creó un bloque de constitucionalidad integrado por la ley fundamental y por los tratados internacionales en que el Estado Mexicano sea parte; asimismo, se incorporó el principio pro persona como rector de la interpretación y aplicación de las normas jurídicas, en aquellas que favorezcan y brinden mayor protección a las personas.</w:t>
      </w:r>
    </w:p>
    <w:p w:rsidR="00061791" w:rsidRDefault="00061791" w:rsidP="00061791">
      <w:pPr>
        <w:pStyle w:val="Prrafodelista"/>
        <w:rPr>
          <w:rFonts w:ascii="Palatino Linotype" w:hAnsi="Palatino Linotype"/>
          <w:sz w:val="28"/>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lastRenderedPageBreak/>
        <w:t>El 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Default="007317E8" w:rsidP="007317E8">
      <w:pPr>
        <w:numPr>
          <w:ilvl w:val="0"/>
          <w:numId w:val="1"/>
        </w:numPr>
        <w:spacing w:after="0" w:line="360" w:lineRule="auto"/>
        <w:contextualSpacing/>
        <w:jc w:val="both"/>
        <w:rPr>
          <w:rFonts w:ascii="Palatino Linotype" w:hAnsi="Palatino Linotype"/>
          <w:sz w:val="24"/>
          <w:szCs w:val="24"/>
        </w:rPr>
      </w:pPr>
      <w:r w:rsidRPr="007317E8">
        <w:rPr>
          <w:rFonts w:ascii="Palatino Linotype" w:hAnsi="Palatino Linotype"/>
          <w:sz w:val="24"/>
          <w:szCs w:val="24"/>
        </w:rPr>
        <w:t>Sirve de criterio orientador la Tesis Aislada I.4o.A.20 K (10a.), publicada en la Gaceta del Semanario Judicial de la Federación Libro 1, diciembre de 2013, Tomo II, página: 1211, cuyo rubro, texto y datos de identificación son los siguientes:</w:t>
      </w:r>
    </w:p>
    <w:p w:rsidR="00F751F9" w:rsidRDefault="00F751F9" w:rsidP="00F751F9">
      <w:pPr>
        <w:pStyle w:val="Prrafodelista"/>
        <w:rPr>
          <w:rFonts w:ascii="Palatino Linotype" w:hAnsi="Palatino Linotype"/>
          <w:sz w:val="24"/>
          <w:szCs w:val="24"/>
        </w:rPr>
      </w:pPr>
    </w:p>
    <w:p w:rsidR="007317E8" w:rsidRPr="00DC3467" w:rsidRDefault="007317E8" w:rsidP="007317E8">
      <w:pPr>
        <w:pStyle w:val="Sinespaciado"/>
        <w:ind w:left="851" w:right="567"/>
        <w:jc w:val="both"/>
        <w:rPr>
          <w:rFonts w:ascii="Palatino Linotype" w:hAnsi="Palatino Linotype"/>
          <w:i/>
          <w:sz w:val="24"/>
        </w:rPr>
      </w:pPr>
      <w:r w:rsidRPr="00DC3467">
        <w:rPr>
          <w:rFonts w:ascii="Palatino Linotype" w:hAnsi="Palatino Linotype"/>
          <w:b/>
          <w:i/>
          <w:sz w:val="24"/>
        </w:rPr>
        <w:t>PRINCIPIO PRO HOMINE. VARIANTES QUE LO COMPONEN.</w:t>
      </w:r>
      <w:r w:rsidRPr="00DC3467">
        <w:rPr>
          <w:rFonts w:ascii="Palatino Linotype" w:hAnsi="Palatino Linotype"/>
          <w:i/>
          <w:sz w:val="24"/>
        </w:rPr>
        <w:t xml:space="preserve"> “Conforme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w:t>
      </w:r>
      <w:proofErr w:type="spellStart"/>
      <w:r w:rsidRPr="00DC3467">
        <w:rPr>
          <w:rFonts w:ascii="Palatino Linotype" w:hAnsi="Palatino Linotype"/>
          <w:i/>
          <w:sz w:val="24"/>
        </w:rPr>
        <w:t>homine</w:t>
      </w:r>
      <w:proofErr w:type="spellEnd"/>
      <w:r w:rsidRPr="00DC3467">
        <w:rPr>
          <w:rFonts w:ascii="Palatino Linotype" w:hAnsi="Palatino Linotype"/>
          <w:i/>
          <w:sz w:val="24"/>
        </w:rPr>
        <w:t xml:space="preserve">", el cual consiste en ponderar el peso de los derechos humanos, a efecto de estar siempre a favor del hombre,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w:t>
      </w:r>
      <w:proofErr w:type="spellStart"/>
      <w:r w:rsidRPr="00DC3467">
        <w:rPr>
          <w:rFonts w:ascii="Palatino Linotype" w:hAnsi="Palatino Linotype"/>
          <w:i/>
          <w:sz w:val="24"/>
        </w:rPr>
        <w:t>homine</w:t>
      </w:r>
      <w:proofErr w:type="spellEnd"/>
      <w:r w:rsidRPr="00DC3467">
        <w:rPr>
          <w:rFonts w:ascii="Palatino Linotype" w:hAnsi="Palatino Linotype"/>
          <w:i/>
          <w:sz w:val="24"/>
        </w:rPr>
        <w:t xml:space="preserve">" tiene dos variantes: a) Directriz de preferencia interpretativa, por la cual se ha de buscar la interpretación que optimice más un derecho constitucional. Esta variante, a su vez, se compone de: a.1.) Principio favor </w:t>
      </w:r>
      <w:proofErr w:type="spellStart"/>
      <w:r w:rsidRPr="00DC3467">
        <w:rPr>
          <w:rFonts w:ascii="Palatino Linotype" w:hAnsi="Palatino Linotype"/>
          <w:i/>
          <w:sz w:val="24"/>
        </w:rPr>
        <w:t>libertatis</w:t>
      </w:r>
      <w:proofErr w:type="spellEnd"/>
      <w:r w:rsidRPr="00DC3467">
        <w:rPr>
          <w:rFonts w:ascii="Palatino Linotype" w:hAnsi="Palatino Linotype"/>
          <w:i/>
          <w:sz w:val="24"/>
        </w:rPr>
        <w:t xml:space="preserve">, que postula la necesidad de entender al precepto normativo en el sentido más propicio a la libertad en juicio, e incluye una doble vertiente: i) las limitaciones que mediante ley se establezcan a los derechos humanos no </w:t>
      </w:r>
      <w:r w:rsidRPr="00DC3467">
        <w:rPr>
          <w:rFonts w:ascii="Palatino Linotype" w:hAnsi="Palatino Linotype"/>
          <w:i/>
          <w:sz w:val="24"/>
        </w:rPr>
        <w:lastRenderedPageBreak/>
        <w:t xml:space="preserve">deberán ser interpretadas extensivamente, sino de modo restrictivo; y, ii) debe interpretarse la norma de la manera que optimice su ejercicio; a.2.) Principio de protección a víctimas o principio favor </w:t>
      </w:r>
      <w:proofErr w:type="spellStart"/>
      <w:r w:rsidRPr="00DC3467">
        <w:rPr>
          <w:rFonts w:ascii="Palatino Linotype" w:hAnsi="Palatino Linotype"/>
          <w:i/>
          <w:sz w:val="24"/>
        </w:rPr>
        <w:t>debilis</w:t>
      </w:r>
      <w:proofErr w:type="spellEnd"/>
      <w:r w:rsidRPr="00DC3467">
        <w:rPr>
          <w:rFonts w:ascii="Palatino Linotype" w:hAnsi="Palatino Linotype"/>
          <w:i/>
          <w:sz w:val="24"/>
        </w:rPr>
        <w:t>;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p>
    <w:p w:rsidR="007317E8" w:rsidRPr="007317E8" w:rsidRDefault="007317E8" w:rsidP="007317E8">
      <w:pPr>
        <w:pStyle w:val="Sinespaciado"/>
        <w:ind w:left="851" w:right="567"/>
        <w:jc w:val="both"/>
        <w:rPr>
          <w:rFonts w:ascii="Palatino Linotype" w:hAnsi="Palatino Linotype"/>
          <w:i/>
        </w:rPr>
      </w:pPr>
    </w:p>
    <w:p w:rsidR="007317E8" w:rsidRDefault="007317E8" w:rsidP="007317E8">
      <w:pPr>
        <w:numPr>
          <w:ilvl w:val="0"/>
          <w:numId w:val="1"/>
        </w:numPr>
        <w:spacing w:after="0" w:line="360" w:lineRule="auto"/>
        <w:contextualSpacing/>
        <w:jc w:val="both"/>
        <w:rPr>
          <w:rFonts w:ascii="Palatino Linotype" w:hAnsi="Palatino Linotype"/>
          <w:sz w:val="24"/>
          <w:szCs w:val="24"/>
        </w:rPr>
      </w:pPr>
      <w:r w:rsidRPr="007317E8">
        <w:rPr>
          <w:rFonts w:ascii="Palatino Linotype" w:hAnsi="Palatino Linotype"/>
          <w:sz w:val="24"/>
          <w:szCs w:val="24"/>
        </w:rPr>
        <w:t xml:space="preserve">Entonces, se puede afirmar que el principio pro persona tiene dos variantes: </w:t>
      </w:r>
    </w:p>
    <w:p w:rsidR="00DC3467" w:rsidRPr="007317E8" w:rsidRDefault="00DC3467" w:rsidP="00DC3467">
      <w:pPr>
        <w:spacing w:after="0" w:line="360" w:lineRule="auto"/>
        <w:ind w:left="360"/>
        <w:contextualSpacing/>
        <w:jc w:val="both"/>
        <w:rPr>
          <w:rFonts w:ascii="Palatino Linotype" w:hAnsi="Palatino Linotype"/>
          <w:sz w:val="24"/>
          <w:szCs w:val="24"/>
        </w:rPr>
      </w:pPr>
    </w:p>
    <w:p w:rsidR="007317E8" w:rsidRDefault="007317E8" w:rsidP="007317E8">
      <w:pPr>
        <w:numPr>
          <w:ilvl w:val="1"/>
          <w:numId w:val="1"/>
        </w:numPr>
        <w:spacing w:after="0" w:line="360" w:lineRule="auto"/>
        <w:contextualSpacing/>
        <w:jc w:val="both"/>
        <w:rPr>
          <w:rFonts w:ascii="Palatino Linotype" w:hAnsi="Palatino Linotype"/>
          <w:sz w:val="24"/>
          <w:szCs w:val="24"/>
        </w:rPr>
      </w:pPr>
      <w:r w:rsidRPr="007317E8">
        <w:rPr>
          <w:rFonts w:ascii="Palatino Linotype" w:hAnsi="Palatino Linotype"/>
          <w:b/>
          <w:sz w:val="24"/>
          <w:szCs w:val="24"/>
        </w:rPr>
        <w:t>Preferencia interpretativa.</w:t>
      </w:r>
      <w:r w:rsidRPr="007317E8">
        <w:rPr>
          <w:rFonts w:ascii="Palatino Linotype" w:hAnsi="Palatino Linotype"/>
          <w:sz w:val="24"/>
          <w:szCs w:val="24"/>
        </w:rPr>
        <w:t xml:space="preserve"> El intérprete debe preferir, de las interpretaciones válidas que estén disponibles para resolver un caso concreto, la que más optimice un derecho fundamental, es decir, cuando amplía el ámbito de los sujetos protegidos por el Derecho.</w:t>
      </w:r>
    </w:p>
    <w:p w:rsidR="00DC3467" w:rsidRPr="007317E8" w:rsidRDefault="00DC3467" w:rsidP="00DC3467">
      <w:pPr>
        <w:spacing w:after="0" w:line="360" w:lineRule="auto"/>
        <w:ind w:left="1440"/>
        <w:contextualSpacing/>
        <w:jc w:val="both"/>
        <w:rPr>
          <w:rFonts w:ascii="Palatino Linotype" w:hAnsi="Palatino Linotype"/>
          <w:sz w:val="24"/>
          <w:szCs w:val="24"/>
        </w:rPr>
      </w:pPr>
    </w:p>
    <w:p w:rsidR="007317E8" w:rsidRDefault="007317E8" w:rsidP="007317E8">
      <w:pPr>
        <w:numPr>
          <w:ilvl w:val="1"/>
          <w:numId w:val="1"/>
        </w:numPr>
        <w:spacing w:after="0" w:line="360" w:lineRule="auto"/>
        <w:contextualSpacing/>
        <w:jc w:val="both"/>
        <w:rPr>
          <w:rFonts w:ascii="Palatino Linotype" w:hAnsi="Palatino Linotype"/>
          <w:sz w:val="24"/>
          <w:szCs w:val="24"/>
        </w:rPr>
      </w:pPr>
      <w:r w:rsidRPr="007317E8">
        <w:rPr>
          <w:rFonts w:ascii="Palatino Linotype" w:hAnsi="Palatino Linotype"/>
          <w:b/>
          <w:sz w:val="24"/>
          <w:szCs w:val="24"/>
        </w:rPr>
        <w:t>Preferencia de normas.</w:t>
      </w:r>
      <w:r w:rsidRPr="007317E8">
        <w:rPr>
          <w:rFonts w:ascii="Palatino Linotype" w:hAnsi="Palatino Linotype"/>
          <w:sz w:val="24"/>
          <w:szCs w:val="24"/>
        </w:rPr>
        <w:t xml:space="preserve"> El intérprete, si puede aplicar más de una norma al caso concreto, deberá preferir aquella que sea más favorable a la persona, con independencia del lugar que ocupe dentro de la jerarquía normativa.</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DC3467"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 xml:space="preserve">Así, el principio </w:t>
      </w:r>
      <w:proofErr w:type="spellStart"/>
      <w:r w:rsidRPr="00151D53">
        <w:rPr>
          <w:rFonts w:ascii="Palatino Linotype" w:hAnsi="Palatino Linotype" w:cs="Arial"/>
          <w:i/>
          <w:sz w:val="24"/>
        </w:rPr>
        <w:t>pro</w:t>
      </w:r>
      <w:proofErr w:type="spellEnd"/>
      <w:r w:rsidRPr="00151D53">
        <w:rPr>
          <w:rFonts w:ascii="Palatino Linotype" w:hAnsi="Palatino Linotype" w:cs="Arial"/>
          <w:i/>
          <w:sz w:val="24"/>
        </w:rPr>
        <w:t xml:space="preserve"> persona,</w:t>
      </w:r>
      <w:r w:rsidRPr="00151D53">
        <w:rPr>
          <w:rFonts w:ascii="Palatino Linotype" w:hAnsi="Palatino Linotype" w:cs="Arial"/>
          <w:sz w:val="24"/>
        </w:rPr>
        <w:t xml:space="preserve"> coincide con la esencia de los derechos humanos, por virtud del cual debe estarse siempre a lo más favorable para el hombre e implica que debe acudirse a la norma más amplia o a la interpretación extensiva </w:t>
      </w:r>
      <w:r w:rsidRPr="00151D53">
        <w:rPr>
          <w:rFonts w:ascii="Palatino Linotype" w:hAnsi="Palatino Linotype" w:cs="Arial"/>
          <w:sz w:val="24"/>
        </w:rPr>
        <w:lastRenderedPageBreak/>
        <w:t>cuando se trata de derechos protegidos y, por el contrario, a la norma o a la interpretación más restringida, cuando se trata de establecer límites a su ejercicio.</w:t>
      </w:r>
    </w:p>
    <w:p w:rsidR="00DC3467" w:rsidRPr="00151D53" w:rsidRDefault="00DC3467" w:rsidP="00DC3467">
      <w:pPr>
        <w:spacing w:after="0" w:line="360" w:lineRule="auto"/>
        <w:ind w:left="360"/>
        <w:contextualSpacing/>
        <w:jc w:val="both"/>
        <w:rPr>
          <w:rFonts w:ascii="Palatino Linotype" w:hAnsi="Palatino Linotype"/>
          <w:sz w:val="28"/>
          <w:szCs w:val="24"/>
        </w:rPr>
      </w:pPr>
    </w:p>
    <w:p w:rsidR="007317E8" w:rsidRPr="00DC3467"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Lo anterior, coincide con los criterios jurisprudenciales dictados por los órganos que integran el Poder Judicial de la Federación en las tesis aisladas: I.4o.A.441 A y I.4o.A.464 A, publicadas en el Semanario Judicial de la Federación y su Gaceta, Tomo XX, Octubre de 2004 y Tomo XXI, Febrero de 2005 respectivamente:</w:t>
      </w:r>
    </w:p>
    <w:p w:rsidR="00DC3467" w:rsidRDefault="00DC3467" w:rsidP="00DC3467">
      <w:pPr>
        <w:pStyle w:val="Prrafodelista"/>
        <w:rPr>
          <w:rFonts w:ascii="Palatino Linotype" w:hAnsi="Palatino Linotype"/>
          <w:sz w:val="28"/>
          <w:szCs w:val="24"/>
        </w:rPr>
      </w:pPr>
    </w:p>
    <w:p w:rsidR="007317E8" w:rsidRPr="00DC3467" w:rsidRDefault="007317E8" w:rsidP="00151D53">
      <w:pPr>
        <w:pStyle w:val="Sinespaciado"/>
        <w:ind w:left="851" w:right="567"/>
        <w:jc w:val="both"/>
        <w:rPr>
          <w:rFonts w:ascii="Palatino Linotype" w:hAnsi="Palatino Linotype"/>
          <w:i/>
          <w:sz w:val="24"/>
        </w:rPr>
      </w:pPr>
      <w:r w:rsidRPr="00DC3467">
        <w:rPr>
          <w:rFonts w:ascii="Palatino Linotype" w:hAnsi="Palatino Linotype"/>
          <w:b/>
          <w:i/>
          <w:sz w:val="24"/>
        </w:rPr>
        <w:t>PRINCIPIO PRO HOMINE. SU APLICACIÓN</w:t>
      </w:r>
      <w:r w:rsidRPr="00DC3467">
        <w:rPr>
          <w:rFonts w:ascii="Palatino Linotype" w:hAnsi="Palatino Linotype"/>
          <w:i/>
          <w:sz w:val="24"/>
        </w:rPr>
        <w:t xml:space="preserve">. </w:t>
      </w:r>
      <w:r w:rsidR="00151D53" w:rsidRPr="00DC3467">
        <w:rPr>
          <w:rFonts w:ascii="Palatino Linotype" w:hAnsi="Palatino Linotype"/>
          <w:i/>
          <w:sz w:val="24"/>
        </w:rPr>
        <w:t>“</w:t>
      </w:r>
      <w:r w:rsidRPr="00DC3467">
        <w:rPr>
          <w:rFonts w:ascii="Palatino Linotype" w:hAnsi="Palatino Linotype"/>
          <w:i/>
          <w:sz w:val="24"/>
        </w:rPr>
        <w:t xml:space="preserve">El principio pro </w:t>
      </w:r>
      <w:proofErr w:type="spellStart"/>
      <w:r w:rsidRPr="00DC3467">
        <w:rPr>
          <w:rFonts w:ascii="Palatino Linotype" w:hAnsi="Palatino Linotype"/>
          <w:i/>
          <w:sz w:val="24"/>
        </w:rPr>
        <w:t>homine</w:t>
      </w:r>
      <w:proofErr w:type="spellEnd"/>
      <w:r w:rsidRPr="00DC3467">
        <w:rPr>
          <w:rFonts w:ascii="Palatino Linotype" w:hAnsi="Palatino Linotype"/>
          <w:i/>
          <w:sz w:val="24"/>
        </w:rPr>
        <w:t>, incorporado en múltiples tratados internacionales, es un criterio hermenéutico que coincide con el rasgo fundamental de los derechos humanos, por virtud del cual debe estarse siempre a favor del hombre e implica que debe acudirse a la norma más amplia o a la interpretación extensiva cuando se trata de derechos protegidos y, por el contrario, a la norma o a la interpretación más restringida, cuando se trata de establecer límites a su ejercicio.</w:t>
      </w:r>
      <w:r w:rsidR="00151D53" w:rsidRPr="00DC3467">
        <w:rPr>
          <w:rFonts w:ascii="Palatino Linotype" w:hAnsi="Palatino Linotype"/>
          <w:i/>
          <w:sz w:val="24"/>
        </w:rPr>
        <w:t>”</w:t>
      </w:r>
    </w:p>
    <w:p w:rsidR="00151D53" w:rsidRPr="00DC3467" w:rsidRDefault="00151D53" w:rsidP="00151D53">
      <w:pPr>
        <w:pStyle w:val="Sinespaciado"/>
        <w:ind w:left="851" w:right="567"/>
        <w:jc w:val="both"/>
        <w:rPr>
          <w:rFonts w:ascii="Palatino Linotype" w:hAnsi="Palatino Linotype"/>
          <w:i/>
          <w:sz w:val="24"/>
        </w:rPr>
      </w:pPr>
    </w:p>
    <w:p w:rsidR="007317E8" w:rsidRPr="00DC3467" w:rsidRDefault="007317E8" w:rsidP="00151D53">
      <w:pPr>
        <w:pStyle w:val="Sinespaciado"/>
        <w:ind w:left="851" w:right="567"/>
        <w:jc w:val="both"/>
        <w:rPr>
          <w:sz w:val="24"/>
        </w:rPr>
      </w:pPr>
      <w:r w:rsidRPr="00DC3467">
        <w:rPr>
          <w:rFonts w:ascii="Palatino Linotype" w:hAnsi="Palatino Linotype"/>
          <w:b/>
          <w:i/>
          <w:sz w:val="24"/>
        </w:rPr>
        <w:t>PRINCIPIO PRO HOMINE. SU APLICACIÓN ES OBLIGATORIA.</w:t>
      </w:r>
      <w:r w:rsidRPr="00DC3467">
        <w:rPr>
          <w:rFonts w:ascii="Palatino Linotype" w:hAnsi="Palatino Linotype"/>
          <w:i/>
          <w:sz w:val="24"/>
        </w:rPr>
        <w:t xml:space="preserve"> </w:t>
      </w:r>
      <w:r w:rsidR="00151D53" w:rsidRPr="00DC3467">
        <w:rPr>
          <w:rFonts w:ascii="Palatino Linotype" w:hAnsi="Palatino Linotype"/>
          <w:i/>
          <w:sz w:val="24"/>
        </w:rPr>
        <w:t>“</w:t>
      </w:r>
      <w:r w:rsidRPr="00DC3467">
        <w:rPr>
          <w:rFonts w:ascii="Palatino Linotype" w:hAnsi="Palatino Linotype"/>
          <w:i/>
          <w:sz w:val="24"/>
        </w:rPr>
        <w:t xml:space="preserve">El principio pro </w:t>
      </w:r>
      <w:proofErr w:type="spellStart"/>
      <w:r w:rsidRPr="00DC3467">
        <w:rPr>
          <w:rFonts w:ascii="Palatino Linotype" w:hAnsi="Palatino Linotype"/>
          <w:i/>
          <w:sz w:val="24"/>
        </w:rPr>
        <w:t>homine</w:t>
      </w:r>
      <w:proofErr w:type="spellEnd"/>
      <w:r w:rsidRPr="00DC3467">
        <w:rPr>
          <w:rFonts w:ascii="Palatino Linotype" w:hAnsi="Palatino Linotype"/>
          <w:i/>
          <w:sz w:val="24"/>
        </w:rPr>
        <w:t xml:space="preserve"> que implica que la interpretación jurídica siempre debe buscar el mayor beneficio para el hombre, es decir, que debe acudirse a la norma más amplia o a la interpretación extensiva cuando se trata de derechos protegidos y, por el contrario, a la norma o a la interpretación más restringida, cuando se trata de establecer límites a su ejercicio, se contempla en los artículos 29 de la Convención Americana sobre Derechos Humanos y 5 del Pacto Internacional de Derechos Civiles y Políticos, publicados en el Diario Oficial de la Federación el siete y el veinte de mayo de mil novecientos ochenta y uno, respectivamente. Ahora bien, como dichos tratados forman parte de la Ley Suprema de la Unión, conforme al artículo 133 constitucional, es claro que el citado principio debe aplicarse en forma obligatoria.</w:t>
      </w:r>
      <w:r w:rsidR="00151D53" w:rsidRPr="00DC3467">
        <w:rPr>
          <w:rFonts w:ascii="Palatino Linotype" w:hAnsi="Palatino Linotype"/>
          <w:i/>
          <w:sz w:val="24"/>
        </w:rPr>
        <w:t>”</w:t>
      </w: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lastRenderedPageBreak/>
        <w:t xml:space="preserve">De lo expuesto se colige que cualquier órgano judicial, jurisdiccional o administrativo del Estado mexicano con facultades decisorias o de </w:t>
      </w:r>
      <w:proofErr w:type="spellStart"/>
      <w:r w:rsidRPr="00151D53">
        <w:rPr>
          <w:rFonts w:ascii="Palatino Linotype" w:hAnsi="Palatino Linotype"/>
          <w:i/>
          <w:sz w:val="24"/>
          <w:szCs w:val="24"/>
        </w:rPr>
        <w:t>imperium</w:t>
      </w:r>
      <w:proofErr w:type="spellEnd"/>
      <w:r w:rsidRPr="00151D53">
        <w:rPr>
          <w:rFonts w:ascii="Palatino Linotype" w:hAnsi="Palatino Linotype"/>
          <w:sz w:val="24"/>
          <w:szCs w:val="24"/>
        </w:rPr>
        <w:t xml:space="preserve"> debe respetar el principio pro persona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rsidR="007317E8" w:rsidRPr="007317E8" w:rsidRDefault="007317E8" w:rsidP="007317E8">
      <w:pPr>
        <w:spacing w:after="0" w:line="360" w:lineRule="auto"/>
        <w:contextualSpacing/>
        <w:jc w:val="both"/>
        <w:rPr>
          <w:rFonts w:ascii="Palatino Linotype" w:hAnsi="Palatino Linotype"/>
          <w:sz w:val="24"/>
          <w:szCs w:val="24"/>
        </w:rPr>
      </w:pPr>
    </w:p>
    <w:p w:rsidR="00151D53" w:rsidRDefault="00151D53" w:rsidP="00E04ADD">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 xml:space="preserve">Ahora, 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 </w:t>
      </w:r>
    </w:p>
    <w:p w:rsidR="00E04ADD" w:rsidRDefault="00E04ADD" w:rsidP="00E04ADD">
      <w:pPr>
        <w:pStyle w:val="Prrafodelista"/>
        <w:rPr>
          <w:rFonts w:ascii="Palatino Linotype" w:hAnsi="Palatino Linotype"/>
          <w:sz w:val="24"/>
          <w:szCs w:val="24"/>
        </w:rPr>
      </w:pPr>
    </w:p>
    <w:p w:rsid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 xml:space="preserve">Precisado lo anterior, y con relación a uno de los derechos fundamentales que tiene la obligación de proteger este </w:t>
      </w:r>
      <w:r w:rsidR="00E04ADD">
        <w:rPr>
          <w:rFonts w:ascii="Palatino Linotype" w:hAnsi="Palatino Linotype"/>
          <w:sz w:val="24"/>
          <w:szCs w:val="24"/>
        </w:rPr>
        <w:t>Instituto, el artículo 6 de la C</w:t>
      </w:r>
      <w:r w:rsidRPr="00151D53">
        <w:rPr>
          <w:rFonts w:ascii="Palatino Linotype" w:hAnsi="Palatino Linotype"/>
          <w:sz w:val="24"/>
          <w:szCs w:val="24"/>
        </w:rPr>
        <w:t xml:space="preserve">arta </w:t>
      </w:r>
      <w:r w:rsidR="00E04ADD">
        <w:rPr>
          <w:rFonts w:ascii="Palatino Linotype" w:hAnsi="Palatino Linotype"/>
          <w:sz w:val="24"/>
          <w:szCs w:val="24"/>
        </w:rPr>
        <w:t>F</w:t>
      </w:r>
      <w:r w:rsidRPr="00151D53">
        <w:rPr>
          <w:rFonts w:ascii="Palatino Linotype" w:hAnsi="Palatino Linotype"/>
          <w:sz w:val="24"/>
          <w:szCs w:val="24"/>
        </w:rPr>
        <w:t xml:space="preserve">undamental del país establece el derecho de acceso a la información pública como un derecho humano que debe ser respetado por todas las autoridades públicas y, en caso de vulneración, se instituyen órganos garantes especializados </w:t>
      </w:r>
      <w:r w:rsidRPr="00151D53">
        <w:rPr>
          <w:rFonts w:ascii="Palatino Linotype" w:hAnsi="Palatino Linotype"/>
          <w:sz w:val="24"/>
          <w:szCs w:val="24"/>
        </w:rPr>
        <w:lastRenderedPageBreak/>
        <w:t>en los diferentes niveles para su debida protección y respeto, aún en contra de la voluntad de los entes públicos.</w:t>
      </w:r>
    </w:p>
    <w:p w:rsidR="008703EA" w:rsidRDefault="008703EA" w:rsidP="008703EA">
      <w:pPr>
        <w:pStyle w:val="Prrafodelista"/>
        <w:rPr>
          <w:rFonts w:ascii="Palatino Linotype" w:hAnsi="Palatino Linotype"/>
          <w:sz w:val="24"/>
          <w:szCs w:val="24"/>
        </w:rPr>
      </w:pPr>
    </w:p>
    <w:p w:rsidR="00151D53"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En el plano internacional, particularmente en el tema en análisis, existen tres tratados internacionales suscritos y ratificados por México en el que se reconoce el derecho a buscar, recibir y difundir información. A estos tratados nos referiremos en los siguientes párrafos, sin embargo, para sustentar su aplicabilidad en el sistema jurídico mexicano se detallan por su denominación, fecha de aprobación, ratificación y publicación en el Diario Oficial de la Federación:</w:t>
      </w:r>
    </w:p>
    <w:p w:rsidR="00DC3467" w:rsidRDefault="00DC3467" w:rsidP="00DC3467">
      <w:pPr>
        <w:pStyle w:val="Prrafodelista"/>
        <w:rPr>
          <w:rFonts w:ascii="Palatino Linotype" w:hAnsi="Palatino Linotype"/>
          <w:sz w:val="24"/>
          <w:szCs w:val="24"/>
        </w:rPr>
      </w:pPr>
    </w:p>
    <w:p w:rsidR="00151D53" w:rsidRDefault="00151D53" w:rsidP="00151D53">
      <w:pPr>
        <w:numPr>
          <w:ilvl w:val="1"/>
          <w:numId w:val="1"/>
        </w:numPr>
        <w:spacing w:after="0" w:line="360" w:lineRule="auto"/>
        <w:contextualSpacing/>
        <w:jc w:val="both"/>
        <w:rPr>
          <w:rFonts w:ascii="Palatino Linotype" w:hAnsi="Palatino Linotype"/>
          <w:sz w:val="24"/>
          <w:szCs w:val="24"/>
        </w:rPr>
      </w:pPr>
      <w:r w:rsidRPr="00151D53">
        <w:rPr>
          <w:rFonts w:ascii="Palatino Linotype" w:hAnsi="Palatino Linotype"/>
          <w:b/>
          <w:sz w:val="24"/>
          <w:szCs w:val="24"/>
        </w:rPr>
        <w:t>DECLARACIÓN UNIVERSAL DE DERECHOS HUMANOS.</w:t>
      </w:r>
      <w:r w:rsidRPr="00151D53">
        <w:rPr>
          <w:rFonts w:ascii="Palatino Linotype" w:hAnsi="Palatino Linotype"/>
          <w:sz w:val="24"/>
          <w:szCs w:val="24"/>
        </w:rPr>
        <w:t xml:space="preserve"> Adoptada y proclamada por la Asamblea General de la Organización de Naciones Unidad en su resolución 217 A (III), del diez de diciembre de mil novecientos cuarenta y ocho.</w:t>
      </w:r>
    </w:p>
    <w:p w:rsidR="00DC3467" w:rsidRDefault="00DC3467" w:rsidP="00DC3467">
      <w:pPr>
        <w:spacing w:after="0" w:line="360" w:lineRule="auto"/>
        <w:ind w:left="1440"/>
        <w:contextualSpacing/>
        <w:jc w:val="both"/>
        <w:rPr>
          <w:rFonts w:ascii="Palatino Linotype" w:hAnsi="Palatino Linotype"/>
          <w:sz w:val="24"/>
          <w:szCs w:val="24"/>
        </w:rPr>
      </w:pPr>
    </w:p>
    <w:p w:rsidR="00151D53" w:rsidRDefault="00DE60FA" w:rsidP="00DE60FA">
      <w:pPr>
        <w:numPr>
          <w:ilvl w:val="1"/>
          <w:numId w:val="1"/>
        </w:numPr>
        <w:spacing w:after="0" w:line="360" w:lineRule="auto"/>
        <w:contextualSpacing/>
        <w:jc w:val="both"/>
        <w:rPr>
          <w:rFonts w:ascii="Palatino Linotype" w:hAnsi="Palatino Linotype"/>
          <w:sz w:val="24"/>
          <w:szCs w:val="24"/>
        </w:rPr>
      </w:pPr>
      <w:r>
        <w:rPr>
          <w:rFonts w:ascii="Palatino Linotype" w:hAnsi="Palatino Linotype"/>
          <w:b/>
          <w:sz w:val="24"/>
          <w:szCs w:val="24"/>
        </w:rPr>
        <w:t>PACTO INTERNACIONAL DE DERECHOS CIVILES Y POLÍTICOS.</w:t>
      </w:r>
      <w:r>
        <w:rPr>
          <w:rFonts w:ascii="Palatino Linotype" w:hAnsi="Palatino Linotype"/>
          <w:sz w:val="24"/>
          <w:szCs w:val="24"/>
        </w:rPr>
        <w:t xml:space="preserve"> </w:t>
      </w:r>
      <w:r w:rsidRPr="00DE60FA">
        <w:rPr>
          <w:rFonts w:ascii="Palatino Linotype" w:hAnsi="Palatino Linotype"/>
          <w:sz w:val="24"/>
          <w:szCs w:val="24"/>
        </w:rPr>
        <w:t>publicado en el Diario Oficial de la Federación el veinte de mayo de mil novecientos ochenta y uno. El diecinueve de diciembre de mil novecientos sesenta y seis se abrió a firma en la ciudad de Nueva York, Estados Unidos de América y fue ratificado por el Senado Mexicano el dieciocho de diciembre de mil novecientos ochenta.</w:t>
      </w:r>
    </w:p>
    <w:p w:rsidR="00DC3467" w:rsidRDefault="00DC3467" w:rsidP="00DC3467">
      <w:pPr>
        <w:pStyle w:val="Prrafodelista"/>
        <w:rPr>
          <w:rFonts w:ascii="Palatino Linotype" w:hAnsi="Palatino Linotype"/>
          <w:sz w:val="24"/>
          <w:szCs w:val="24"/>
        </w:rPr>
      </w:pPr>
    </w:p>
    <w:p w:rsidR="00DE60FA" w:rsidRDefault="00DE60FA" w:rsidP="00DE60FA">
      <w:pPr>
        <w:numPr>
          <w:ilvl w:val="1"/>
          <w:numId w:val="1"/>
        </w:numPr>
        <w:spacing w:after="0" w:line="360" w:lineRule="auto"/>
        <w:contextualSpacing/>
        <w:jc w:val="both"/>
        <w:rPr>
          <w:rFonts w:ascii="Palatino Linotype" w:hAnsi="Palatino Linotype"/>
          <w:sz w:val="24"/>
          <w:szCs w:val="24"/>
        </w:rPr>
      </w:pPr>
      <w:r>
        <w:rPr>
          <w:rFonts w:ascii="Palatino Linotype" w:hAnsi="Palatino Linotype"/>
          <w:b/>
          <w:sz w:val="24"/>
          <w:szCs w:val="24"/>
        </w:rPr>
        <w:t>CONVENCIÓN AMERICANA SOBRE DERECHOS HUMANOS.</w:t>
      </w:r>
      <w:r>
        <w:rPr>
          <w:rFonts w:ascii="Palatino Linotype" w:hAnsi="Palatino Linotype"/>
          <w:sz w:val="24"/>
          <w:szCs w:val="24"/>
        </w:rPr>
        <w:t xml:space="preserve"> </w:t>
      </w:r>
      <w:r w:rsidRPr="00DE60FA">
        <w:rPr>
          <w:rFonts w:ascii="Palatino Linotype" w:hAnsi="Palatino Linotype"/>
          <w:sz w:val="24"/>
          <w:szCs w:val="24"/>
        </w:rPr>
        <w:t>Firmada el veintidós de noviembre de mil novecientos sesenta y nueve en la ciudad de San José de Costa Rica y ratificada por la Cámara de Senadores del Congreso de la Unión el dieciocho de diciembre de mil novecientos ochenta. Esta convención fue publicada en el Diario Oficial de la Federación el siete de mayo de mil novecientos ochenta y uno.</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Estos tratados internacionales reconocen la libertad de pensamiento y expresión como un derecho humano que abarca el derecho a buscar, recibir y difundir información por cualquier medio, oralmente, en forma impresa o en cualquier otro medio a elección de la persona.</w:t>
      </w:r>
    </w:p>
    <w:p w:rsidR="00061791" w:rsidRPr="007317E8" w:rsidRDefault="00061791" w:rsidP="00061791">
      <w:pPr>
        <w:spacing w:after="0" w:line="360" w:lineRule="auto"/>
        <w:ind w:left="360"/>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De este modo, el artículo 19 de la Declaración Universal de Derechos Humanos lo reconoce de la siguiente manera:</w:t>
      </w:r>
    </w:p>
    <w:p w:rsidR="0089666B" w:rsidRDefault="0089666B" w:rsidP="0089666B">
      <w:pPr>
        <w:pStyle w:val="Prrafodelista"/>
        <w:rPr>
          <w:rFonts w:ascii="Palatino Linotype" w:hAnsi="Palatino Linotype"/>
          <w:sz w:val="24"/>
          <w:szCs w:val="24"/>
        </w:rPr>
      </w:pPr>
    </w:p>
    <w:p w:rsidR="007317E8" w:rsidRPr="00DC3467" w:rsidRDefault="00DE60FA" w:rsidP="00DE60FA">
      <w:pPr>
        <w:pStyle w:val="Sinespaciado"/>
        <w:ind w:left="851" w:right="567"/>
        <w:jc w:val="both"/>
        <w:rPr>
          <w:rFonts w:ascii="Palatino Linotype" w:hAnsi="Palatino Linotype"/>
          <w:i/>
          <w:sz w:val="24"/>
        </w:rPr>
      </w:pPr>
      <w:r w:rsidRPr="00DC3467">
        <w:rPr>
          <w:rFonts w:ascii="Palatino Linotype" w:hAnsi="Palatino Linotype"/>
          <w:b/>
          <w:i/>
          <w:sz w:val="24"/>
        </w:rPr>
        <w:t>“Artículo 19.</w:t>
      </w:r>
      <w:r w:rsidRPr="00DC3467">
        <w:rPr>
          <w:rFonts w:ascii="Palatino Linotype" w:hAnsi="Palatino Linotype"/>
          <w:i/>
          <w:sz w:val="24"/>
        </w:rPr>
        <w:t xml:space="preserve"> Todo individuo tiene derecho a la libertad de opinión y de expresión; este derecho incluye el no ser molestado a causa de sus opiniones, el de </w:t>
      </w:r>
      <w:r w:rsidRPr="00DC3467">
        <w:rPr>
          <w:rFonts w:ascii="Palatino Linotype" w:hAnsi="Palatino Linotype"/>
          <w:i/>
          <w:sz w:val="24"/>
          <w:u w:val="single"/>
        </w:rPr>
        <w:t>investigar y recibir informaciones y opiniones</w:t>
      </w:r>
      <w:r w:rsidRPr="00DC3467">
        <w:rPr>
          <w:rFonts w:ascii="Palatino Linotype" w:hAnsi="Palatino Linotype"/>
          <w:i/>
          <w:sz w:val="24"/>
        </w:rPr>
        <w:t>, y el de difundirlas, sin limitación de fronteras, por cualquier medio de expresión.”</w:t>
      </w:r>
    </w:p>
    <w:p w:rsidR="00DE60FA" w:rsidRPr="007317E8" w:rsidRDefault="00DE60FA" w:rsidP="007317E8">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lastRenderedPageBreak/>
        <w:t>Por su parte, el artículo 19 del Pacto Internacional de Derechos Civiles y Políticos protege este derecho con los siguientes alcances:</w:t>
      </w:r>
    </w:p>
    <w:p w:rsidR="00DE60FA" w:rsidRPr="00DC3467" w:rsidRDefault="00DE60FA" w:rsidP="00DE60FA">
      <w:pPr>
        <w:pStyle w:val="Sinespaciado"/>
        <w:ind w:left="851" w:right="567"/>
        <w:jc w:val="both"/>
        <w:rPr>
          <w:rFonts w:ascii="Palatino Linotype" w:hAnsi="Palatino Linotype"/>
          <w:b/>
          <w:i/>
          <w:sz w:val="24"/>
        </w:rPr>
      </w:pPr>
      <w:r w:rsidRPr="00DC3467">
        <w:rPr>
          <w:rFonts w:ascii="Palatino Linotype" w:hAnsi="Palatino Linotype"/>
          <w:b/>
          <w:i/>
          <w:sz w:val="24"/>
        </w:rPr>
        <w:t>“Artículo 19</w:t>
      </w:r>
    </w:p>
    <w:p w:rsidR="00DE60FA" w:rsidRPr="00DC3467" w:rsidRDefault="00DE60FA" w:rsidP="00DE60FA">
      <w:pPr>
        <w:pStyle w:val="Sinespaciado"/>
        <w:ind w:left="851" w:right="567"/>
        <w:jc w:val="both"/>
        <w:rPr>
          <w:rFonts w:ascii="Palatino Linotype" w:hAnsi="Palatino Linotype"/>
          <w:i/>
          <w:sz w:val="24"/>
        </w:rPr>
      </w:pPr>
      <w:r w:rsidRPr="00DC3467">
        <w:rPr>
          <w:rFonts w:ascii="Palatino Linotype" w:hAnsi="Palatino Linotype"/>
          <w:i/>
          <w:sz w:val="24"/>
        </w:rPr>
        <w:t>1. Nadie podrá ser molestado a causa de sus opiniones.</w:t>
      </w:r>
    </w:p>
    <w:p w:rsidR="00DE60FA" w:rsidRPr="00DC3467" w:rsidRDefault="00DE60FA" w:rsidP="00DE60FA">
      <w:pPr>
        <w:pStyle w:val="Sinespaciado"/>
        <w:ind w:left="851" w:right="567"/>
        <w:jc w:val="both"/>
        <w:rPr>
          <w:rFonts w:ascii="Palatino Linotype" w:hAnsi="Palatino Linotype"/>
          <w:i/>
          <w:sz w:val="24"/>
        </w:rPr>
      </w:pPr>
      <w:r w:rsidRPr="00DC3467">
        <w:rPr>
          <w:rFonts w:ascii="Palatino Linotype" w:hAnsi="Palatino Linotype"/>
          <w:i/>
          <w:sz w:val="24"/>
        </w:rPr>
        <w:t xml:space="preserve">2. Toda persona tiene derecho a la libertad de expresión; este derecho comprende la </w:t>
      </w:r>
      <w:r w:rsidRPr="00DC3467">
        <w:rPr>
          <w:rFonts w:ascii="Palatino Linotype" w:hAnsi="Palatino Linotype"/>
          <w:i/>
          <w:sz w:val="24"/>
          <w:u w:val="single"/>
        </w:rPr>
        <w:t>libertad de buscar, recibir y difundir informaciones</w:t>
      </w:r>
      <w:r w:rsidRPr="00DC3467">
        <w:rPr>
          <w:rFonts w:ascii="Palatino Linotype" w:hAnsi="Palatino Linotype"/>
          <w:i/>
          <w:sz w:val="24"/>
        </w:rPr>
        <w:t xml:space="preserve"> e ideas de toda índole, sin consideración de fronteras, ya sea oralmente, por escrito o en forma impresa o artística, o por cualquier otro procedimiento de su elección.</w:t>
      </w:r>
    </w:p>
    <w:p w:rsidR="00DE60FA" w:rsidRPr="00DC3467" w:rsidRDefault="00DE60FA" w:rsidP="00DE60FA">
      <w:pPr>
        <w:pStyle w:val="Sinespaciado"/>
        <w:ind w:left="851" w:right="567"/>
        <w:jc w:val="both"/>
        <w:rPr>
          <w:rFonts w:ascii="Palatino Linotype" w:hAnsi="Palatino Linotype"/>
          <w:i/>
          <w:sz w:val="24"/>
          <w:u w:val="single"/>
        </w:rPr>
      </w:pPr>
      <w:r w:rsidRPr="00DC3467">
        <w:rPr>
          <w:rFonts w:ascii="Palatino Linotype" w:hAnsi="Palatino Linotype"/>
          <w:i/>
          <w:sz w:val="24"/>
        </w:rPr>
        <w:t xml:space="preserve">3. El ejercicio del derecho previsto en el párrafo 2 de este artículo entraña deberes y responsabilidades especiales. </w:t>
      </w:r>
      <w:r w:rsidRPr="00DC3467">
        <w:rPr>
          <w:rFonts w:ascii="Palatino Linotype" w:hAnsi="Palatino Linotype"/>
          <w:i/>
          <w:sz w:val="24"/>
          <w:u w:val="single"/>
        </w:rPr>
        <w:t>Por consiguiente, puede estar sujeto a ciertas restricciones que deberán, sin embargo, estar expresamente fijadas por la ley y ser necesaria para:</w:t>
      </w:r>
    </w:p>
    <w:p w:rsidR="00DE60FA" w:rsidRPr="00DC3467" w:rsidRDefault="00DE60FA" w:rsidP="00DE60FA">
      <w:pPr>
        <w:pStyle w:val="Sinespaciado"/>
        <w:ind w:left="851" w:right="567"/>
        <w:jc w:val="both"/>
        <w:rPr>
          <w:rFonts w:ascii="Palatino Linotype" w:hAnsi="Palatino Linotype"/>
          <w:i/>
          <w:sz w:val="24"/>
          <w:u w:val="single"/>
        </w:rPr>
      </w:pPr>
      <w:r w:rsidRPr="00DC3467">
        <w:rPr>
          <w:rFonts w:ascii="Palatino Linotype" w:hAnsi="Palatino Linotype"/>
          <w:i/>
          <w:sz w:val="24"/>
          <w:u w:val="single"/>
        </w:rPr>
        <w:t>a) Asegurar el respeto a los derechos o a la reputación de los demás;</w:t>
      </w:r>
    </w:p>
    <w:p w:rsidR="00DE60FA" w:rsidRPr="00DC3467" w:rsidRDefault="00DE60FA" w:rsidP="00DE60FA">
      <w:pPr>
        <w:pStyle w:val="Sinespaciado"/>
        <w:ind w:left="851" w:right="567"/>
        <w:jc w:val="both"/>
        <w:rPr>
          <w:sz w:val="24"/>
        </w:rPr>
      </w:pPr>
      <w:r w:rsidRPr="00DC3467">
        <w:rPr>
          <w:rFonts w:ascii="Palatino Linotype" w:hAnsi="Palatino Linotype"/>
          <w:i/>
          <w:sz w:val="24"/>
          <w:u w:val="single"/>
        </w:rPr>
        <w:t>b) La protección de la seguridad nacional, el orden público o la salud o la moral públicas.”</w:t>
      </w:r>
    </w:p>
    <w:p w:rsidR="00DE60FA" w:rsidRPr="00DC3467" w:rsidRDefault="00DE60FA" w:rsidP="00DE60FA">
      <w:pPr>
        <w:spacing w:after="0" w:line="360" w:lineRule="auto"/>
        <w:contextualSpacing/>
        <w:jc w:val="both"/>
        <w:rPr>
          <w:rFonts w:ascii="Palatino Linotype" w:hAnsi="Palatino Linotype"/>
          <w:sz w:val="28"/>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Finalmente, el artículo 13 de la Convención Americana sobre Derechos Humanos reconoce a la libertad de pensamiento y expresión como un derecho de todas las personas bajo los siguientes postulados:</w:t>
      </w:r>
    </w:p>
    <w:p w:rsidR="00710886" w:rsidRDefault="00710886" w:rsidP="00710886">
      <w:pPr>
        <w:spacing w:after="0" w:line="360" w:lineRule="auto"/>
        <w:ind w:left="360"/>
        <w:contextualSpacing/>
        <w:jc w:val="both"/>
        <w:rPr>
          <w:rFonts w:ascii="Palatino Linotype" w:hAnsi="Palatino Linotype"/>
          <w:sz w:val="24"/>
          <w:szCs w:val="24"/>
        </w:rPr>
      </w:pPr>
    </w:p>
    <w:p w:rsidR="00DE60FA" w:rsidRPr="00DC3467" w:rsidRDefault="00DE60FA" w:rsidP="00DE60FA">
      <w:pPr>
        <w:pStyle w:val="Sinespaciado"/>
        <w:ind w:left="851" w:right="567"/>
        <w:jc w:val="both"/>
        <w:rPr>
          <w:rFonts w:ascii="Palatino Linotype" w:hAnsi="Palatino Linotype"/>
          <w:b/>
          <w:i/>
          <w:sz w:val="24"/>
        </w:rPr>
      </w:pPr>
      <w:r w:rsidRPr="00DC3467">
        <w:rPr>
          <w:rFonts w:ascii="Palatino Linotype" w:hAnsi="Palatino Linotype"/>
          <w:b/>
          <w:i/>
          <w:sz w:val="24"/>
        </w:rPr>
        <w:t>“Artículo 13. Libertad de Pensamiento y de Expresión</w:t>
      </w:r>
    </w:p>
    <w:p w:rsidR="00DE60FA" w:rsidRPr="00DC3467" w:rsidRDefault="00DE60FA" w:rsidP="00DE60FA">
      <w:pPr>
        <w:pStyle w:val="Sinespaciado"/>
        <w:ind w:left="851" w:right="567"/>
        <w:jc w:val="both"/>
        <w:rPr>
          <w:rFonts w:ascii="Palatino Linotype" w:hAnsi="Palatino Linotype"/>
          <w:i/>
          <w:sz w:val="24"/>
        </w:rPr>
      </w:pPr>
      <w:r w:rsidRPr="00DC3467">
        <w:rPr>
          <w:rFonts w:ascii="Palatino Linotype" w:hAnsi="Palatino Linotype"/>
          <w:i/>
          <w:sz w:val="24"/>
        </w:rPr>
        <w:t xml:space="preserve">1. Toda persona tiene derecho a la libertad de pensamiento y de expresión. </w:t>
      </w:r>
      <w:r w:rsidRPr="00DC3467">
        <w:rPr>
          <w:rFonts w:ascii="Palatino Linotype" w:hAnsi="Palatino Linotype"/>
          <w:i/>
          <w:sz w:val="24"/>
          <w:u w:val="single"/>
        </w:rPr>
        <w:t>Este derecho comprende la libertad de buscar, recibir y difundir informaciones e ideas de toda índole</w:t>
      </w:r>
      <w:r w:rsidRPr="00DC3467">
        <w:rPr>
          <w:rFonts w:ascii="Palatino Linotype" w:hAnsi="Palatino Linotype"/>
          <w:i/>
          <w:sz w:val="24"/>
        </w:rPr>
        <w:t>, sin consideración de fronteras ya sea oralmente, por escrito o en forma impresa o artística, o por cualquier otro procedimiento de su elección.</w:t>
      </w:r>
    </w:p>
    <w:p w:rsidR="00DE60FA" w:rsidRPr="00DC3467" w:rsidRDefault="00DE60FA" w:rsidP="00DE60FA">
      <w:pPr>
        <w:pStyle w:val="Sinespaciado"/>
        <w:ind w:left="851" w:right="567"/>
        <w:jc w:val="both"/>
        <w:rPr>
          <w:rFonts w:ascii="Palatino Linotype" w:hAnsi="Palatino Linotype"/>
          <w:i/>
          <w:sz w:val="24"/>
          <w:u w:val="single"/>
        </w:rPr>
      </w:pPr>
      <w:r w:rsidRPr="00DC3467">
        <w:rPr>
          <w:rFonts w:ascii="Palatino Linotype" w:hAnsi="Palatino Linotype"/>
          <w:i/>
          <w:sz w:val="24"/>
        </w:rPr>
        <w:t xml:space="preserve">2. El ejercicio del derecho previsto en el inciso precedente no puede estar sujeto a previa censura sino a responsabilidades ulteriores, </w:t>
      </w:r>
      <w:r w:rsidRPr="00DC3467">
        <w:rPr>
          <w:rFonts w:ascii="Palatino Linotype" w:hAnsi="Palatino Linotype"/>
          <w:i/>
          <w:sz w:val="24"/>
          <w:u w:val="single"/>
        </w:rPr>
        <w:t>las que deben estar expresamente fijadas por la ley y ser necesarias para asegurar:</w:t>
      </w:r>
    </w:p>
    <w:p w:rsidR="00DE60FA" w:rsidRPr="00DC3467" w:rsidRDefault="00DE60FA" w:rsidP="00DE60FA">
      <w:pPr>
        <w:pStyle w:val="Sinespaciado"/>
        <w:ind w:left="851" w:right="567"/>
        <w:jc w:val="both"/>
        <w:rPr>
          <w:rFonts w:ascii="Palatino Linotype" w:hAnsi="Palatino Linotype"/>
          <w:i/>
          <w:sz w:val="24"/>
          <w:u w:val="single"/>
        </w:rPr>
      </w:pPr>
      <w:r w:rsidRPr="00DC3467">
        <w:rPr>
          <w:rFonts w:ascii="Palatino Linotype" w:hAnsi="Palatino Linotype"/>
          <w:i/>
          <w:sz w:val="24"/>
          <w:u w:val="single"/>
        </w:rPr>
        <w:lastRenderedPageBreak/>
        <w:t>a) el respeto a los derechos o a la reputación de los demás, o</w:t>
      </w:r>
    </w:p>
    <w:p w:rsidR="00DE60FA" w:rsidRPr="00DC3467" w:rsidRDefault="00DE60FA" w:rsidP="00DE60FA">
      <w:pPr>
        <w:pStyle w:val="Sinespaciado"/>
        <w:ind w:left="851" w:right="567"/>
        <w:jc w:val="both"/>
        <w:rPr>
          <w:rFonts w:ascii="Palatino Linotype" w:hAnsi="Palatino Linotype"/>
          <w:i/>
          <w:sz w:val="24"/>
        </w:rPr>
      </w:pPr>
      <w:r w:rsidRPr="00DC3467">
        <w:rPr>
          <w:rFonts w:ascii="Palatino Linotype" w:hAnsi="Palatino Linotype"/>
          <w:i/>
          <w:sz w:val="24"/>
          <w:u w:val="single"/>
        </w:rPr>
        <w:t>b) la protección de la seguridad nacional, el orden público o la salud o la moral públicas.</w:t>
      </w:r>
    </w:p>
    <w:p w:rsidR="00DE60FA" w:rsidRPr="00DC3467" w:rsidRDefault="00DE60FA" w:rsidP="00DE60FA">
      <w:pPr>
        <w:pStyle w:val="Sinespaciado"/>
        <w:ind w:left="851" w:right="567"/>
        <w:jc w:val="both"/>
        <w:rPr>
          <w:rFonts w:ascii="Palatino Linotype" w:hAnsi="Palatino Linotype"/>
          <w:i/>
          <w:sz w:val="24"/>
        </w:rPr>
      </w:pPr>
      <w:r w:rsidRPr="00DC3467">
        <w:rPr>
          <w:rFonts w:ascii="Palatino Linotype" w:hAnsi="Palatino Linotype"/>
          <w:i/>
          <w:sz w:val="24"/>
        </w:rPr>
        <w:t>(…)”</w:t>
      </w:r>
    </w:p>
    <w:p w:rsidR="00DE60FA" w:rsidRPr="007317E8" w:rsidRDefault="00DE60FA" w:rsidP="00DE60FA">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De esta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información se atente contra el respecto y reputación de las personas o pueda provocar una vulneración a la seguridad nacional, a la salud o moral públicas.</w:t>
      </w:r>
    </w:p>
    <w:p w:rsidR="00F751F9" w:rsidRPr="00DE60FA" w:rsidRDefault="00F751F9" w:rsidP="00F751F9">
      <w:pPr>
        <w:spacing w:after="0" w:line="360" w:lineRule="auto"/>
        <w:ind w:left="360"/>
        <w:contextualSpacing/>
        <w:jc w:val="both"/>
        <w:rPr>
          <w:rFonts w:ascii="Palatino Linotype" w:hAnsi="Palatino Linotype"/>
          <w:sz w:val="24"/>
          <w:szCs w:val="24"/>
        </w:rPr>
      </w:pPr>
    </w:p>
    <w:p w:rsidR="00DE60FA" w:rsidRPr="00DE60FA"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De lo anterior, es dable señalar que el derecho de acceso a la información constituye un derecho subjetivo público cuyo titular es la persona y el sujeto pasivo o el sujeto obligado es el Estado; se trata de un concepto que abarca tanto los procedimientos (acopiar, almacenar, tratar, difundir, recibir), los tipos (hechos, noticias, datos, ideas), así como las funciones (recibir datos, información y contexto para entender las instituciones y poder actuar). Se trata de que la información pública que los sujetos obligados generen, administren o posean debe ser accesible de manera permanente a cualquier persona.</w:t>
      </w:r>
    </w:p>
    <w:p w:rsidR="00DE60FA" w:rsidRPr="00DE60FA" w:rsidRDefault="00DE60FA" w:rsidP="00DE60FA">
      <w:pPr>
        <w:spacing w:after="0" w:line="360" w:lineRule="auto"/>
        <w:ind w:left="360"/>
        <w:contextualSpacing/>
        <w:jc w:val="both"/>
        <w:rPr>
          <w:rFonts w:ascii="Palatino Linotype" w:hAnsi="Palatino Linotype"/>
          <w:sz w:val="24"/>
          <w:szCs w:val="24"/>
        </w:rPr>
      </w:pPr>
    </w:p>
    <w:p w:rsidR="00DE60FA" w:rsidRPr="00DE60FA" w:rsidRDefault="00E04ADD" w:rsidP="00DE60FA">
      <w:pPr>
        <w:numPr>
          <w:ilvl w:val="0"/>
          <w:numId w:val="1"/>
        </w:numPr>
        <w:spacing w:after="0" w:line="360" w:lineRule="auto"/>
        <w:contextualSpacing/>
        <w:jc w:val="both"/>
        <w:rPr>
          <w:rFonts w:ascii="Palatino Linotype" w:hAnsi="Palatino Linotype"/>
          <w:sz w:val="24"/>
          <w:szCs w:val="24"/>
        </w:rPr>
      </w:pPr>
      <w:r>
        <w:rPr>
          <w:rFonts w:ascii="Palatino Linotype" w:hAnsi="Palatino Linotype"/>
          <w:sz w:val="24"/>
          <w:szCs w:val="24"/>
        </w:rPr>
        <w:t>B</w:t>
      </w:r>
      <w:r w:rsidR="00C878B6">
        <w:rPr>
          <w:rFonts w:ascii="Palatino Linotype" w:hAnsi="Palatino Linotype"/>
          <w:sz w:val="24"/>
          <w:szCs w:val="24"/>
        </w:rPr>
        <w:t>ajo las anteriores consideraciones</w:t>
      </w:r>
      <w:r w:rsidR="00DE60FA" w:rsidRPr="00DE60FA">
        <w:rPr>
          <w:rFonts w:ascii="Palatino Linotype" w:hAnsi="Palatino Linotype"/>
          <w:sz w:val="24"/>
          <w:szCs w:val="24"/>
        </w:rPr>
        <w:t xml:space="preserve">, </w:t>
      </w:r>
      <w:r w:rsidR="00C878B6">
        <w:rPr>
          <w:rFonts w:ascii="Palatino Linotype" w:hAnsi="Palatino Linotype"/>
          <w:sz w:val="24"/>
          <w:szCs w:val="24"/>
        </w:rPr>
        <w:t>por lo cual</w:t>
      </w:r>
      <w:r w:rsidR="008703EA">
        <w:rPr>
          <w:rFonts w:ascii="Palatino Linotype" w:hAnsi="Palatino Linotype"/>
          <w:sz w:val="24"/>
          <w:szCs w:val="24"/>
        </w:rPr>
        <w:t>es</w:t>
      </w:r>
      <w:r w:rsidR="00DE60FA">
        <w:rPr>
          <w:rFonts w:ascii="Palatino Linotype" w:hAnsi="Palatino Linotype"/>
          <w:sz w:val="24"/>
          <w:szCs w:val="24"/>
        </w:rPr>
        <w:t xml:space="preserve"> </w:t>
      </w:r>
      <w:r w:rsidR="008703EA">
        <w:rPr>
          <w:rFonts w:ascii="Palatino Linotype" w:hAnsi="Palatino Linotype"/>
          <w:sz w:val="24"/>
          <w:szCs w:val="24"/>
        </w:rPr>
        <w:t>los suscritos</w:t>
      </w:r>
      <w:r w:rsidR="00DE60FA" w:rsidRPr="00DE60FA">
        <w:rPr>
          <w:rFonts w:ascii="Palatino Linotype" w:hAnsi="Palatino Linotype"/>
          <w:sz w:val="24"/>
          <w:szCs w:val="24"/>
        </w:rPr>
        <w:t xml:space="preserve"> </w:t>
      </w:r>
      <w:r w:rsidR="00DE60FA">
        <w:rPr>
          <w:rFonts w:ascii="Palatino Linotype" w:hAnsi="Palatino Linotype"/>
          <w:sz w:val="24"/>
          <w:szCs w:val="24"/>
        </w:rPr>
        <w:t>h</w:t>
      </w:r>
      <w:r w:rsidR="008703EA">
        <w:rPr>
          <w:rFonts w:ascii="Palatino Linotype" w:hAnsi="Palatino Linotype"/>
          <w:sz w:val="24"/>
          <w:szCs w:val="24"/>
        </w:rPr>
        <w:t>emos</w:t>
      </w:r>
      <w:r w:rsidR="00DE60FA">
        <w:rPr>
          <w:rFonts w:ascii="Palatino Linotype" w:hAnsi="Palatino Linotype"/>
          <w:sz w:val="24"/>
          <w:szCs w:val="24"/>
        </w:rPr>
        <w:t xml:space="preserve"> mantenido la postura de</w:t>
      </w:r>
      <w:r w:rsidR="00DE60FA" w:rsidRPr="00DE60FA">
        <w:rPr>
          <w:rFonts w:ascii="Palatino Linotype" w:hAnsi="Palatino Linotype"/>
          <w:sz w:val="24"/>
          <w:szCs w:val="24"/>
        </w:rPr>
        <w:t xml:space="preserve"> que la fracción V</w:t>
      </w:r>
      <w:r w:rsidR="0017117E">
        <w:rPr>
          <w:rFonts w:ascii="Palatino Linotype" w:hAnsi="Palatino Linotype"/>
          <w:sz w:val="24"/>
          <w:szCs w:val="24"/>
        </w:rPr>
        <w:t>I</w:t>
      </w:r>
      <w:r w:rsidR="00DE60FA" w:rsidRPr="00DE60FA">
        <w:rPr>
          <w:rFonts w:ascii="Palatino Linotype" w:hAnsi="Palatino Linotype"/>
          <w:sz w:val="24"/>
          <w:szCs w:val="24"/>
        </w:rPr>
        <w:t xml:space="preserve"> </w:t>
      </w:r>
      <w:r w:rsidR="00DE60FA">
        <w:rPr>
          <w:rFonts w:ascii="Palatino Linotype" w:hAnsi="Palatino Linotype"/>
          <w:sz w:val="24"/>
          <w:szCs w:val="24"/>
        </w:rPr>
        <w:t>del</w:t>
      </w:r>
      <w:r w:rsidR="00DE60FA" w:rsidRPr="00DE60FA">
        <w:rPr>
          <w:rFonts w:ascii="Palatino Linotype" w:hAnsi="Palatino Linotype"/>
          <w:sz w:val="24"/>
          <w:szCs w:val="24"/>
        </w:rPr>
        <w:t xml:space="preserve"> artículo 148 del Código Financiero del Estado de México y Municipios, restringe el derecho humano de acceso a la información </w:t>
      </w:r>
      <w:r w:rsidR="00DE60FA" w:rsidRPr="00DE60FA">
        <w:rPr>
          <w:rFonts w:ascii="Palatino Linotype" w:hAnsi="Palatino Linotype"/>
          <w:sz w:val="24"/>
          <w:szCs w:val="24"/>
        </w:rPr>
        <w:lastRenderedPageBreak/>
        <w:t>pública al agregar un costo al escaneo y digitalización de la información solicitada para ser entregada a través de la plataforma electrónica SAIMEX.</w:t>
      </w:r>
    </w:p>
    <w:p w:rsidR="007317E8" w:rsidRPr="007317E8" w:rsidRDefault="007317E8" w:rsidP="00DE60FA">
      <w:pPr>
        <w:spacing w:after="0" w:line="360" w:lineRule="auto"/>
        <w:ind w:left="360"/>
        <w:contextualSpacing/>
        <w:jc w:val="both"/>
        <w:rPr>
          <w:rFonts w:ascii="Palatino Linotype" w:hAnsi="Palatino Linotype"/>
          <w:sz w:val="24"/>
          <w:szCs w:val="24"/>
        </w:rPr>
      </w:pPr>
    </w:p>
    <w:p w:rsidR="00E6179D" w:rsidRPr="0017117E" w:rsidRDefault="007317E8" w:rsidP="002770E2">
      <w:pPr>
        <w:numPr>
          <w:ilvl w:val="0"/>
          <w:numId w:val="1"/>
        </w:numPr>
        <w:spacing w:after="0" w:line="360" w:lineRule="auto"/>
        <w:contextualSpacing/>
        <w:jc w:val="both"/>
        <w:rPr>
          <w:rFonts w:ascii="Palatino Linotype" w:hAnsi="Palatino Linotype"/>
          <w:sz w:val="24"/>
          <w:szCs w:val="24"/>
        </w:rPr>
      </w:pPr>
      <w:r>
        <w:rPr>
          <w:rFonts w:ascii="Palatino Linotype" w:hAnsi="Palatino Linotype" w:cs="Arial"/>
          <w:bCs/>
          <w:sz w:val="24"/>
          <w:szCs w:val="24"/>
        </w:rPr>
        <w:t>P</w:t>
      </w:r>
      <w:r w:rsidR="00B85B0B">
        <w:rPr>
          <w:rFonts w:ascii="Palatino Linotype" w:hAnsi="Palatino Linotype" w:cs="Arial"/>
          <w:bCs/>
          <w:sz w:val="24"/>
          <w:szCs w:val="24"/>
        </w:rPr>
        <w:t>or consiguiente, d</w:t>
      </w:r>
      <w:r w:rsidR="002770E2">
        <w:rPr>
          <w:rFonts w:ascii="Palatino Linotype" w:hAnsi="Palatino Linotype" w:cs="Arial"/>
          <w:bCs/>
          <w:sz w:val="24"/>
          <w:szCs w:val="24"/>
        </w:rPr>
        <w:t xml:space="preserve">e las consideraciones señaladas y derivado de la funciones y atribuciones conferidas a la </w:t>
      </w:r>
      <w:r w:rsidR="0037144D">
        <w:rPr>
          <w:rFonts w:ascii="Palatino Linotype" w:hAnsi="Palatino Linotype" w:cs="Arial"/>
          <w:b/>
          <w:bCs/>
          <w:sz w:val="24"/>
          <w:szCs w:val="24"/>
        </w:rPr>
        <w:t>Universidad Politécnica del Valle de Toluca</w:t>
      </w:r>
      <w:r w:rsidR="002770E2">
        <w:rPr>
          <w:rFonts w:ascii="Palatino Linotype" w:hAnsi="Palatino Linotype" w:cs="Arial"/>
          <w:b/>
          <w:bCs/>
          <w:sz w:val="24"/>
          <w:szCs w:val="24"/>
        </w:rPr>
        <w:t xml:space="preserve"> </w:t>
      </w:r>
      <w:r w:rsidR="002770E2">
        <w:rPr>
          <w:rFonts w:ascii="Palatino Linotype" w:hAnsi="Palatino Linotype" w:cs="Arial"/>
          <w:bCs/>
          <w:sz w:val="24"/>
          <w:szCs w:val="24"/>
        </w:rPr>
        <w:t xml:space="preserve">se deduce que </w:t>
      </w:r>
      <w:r w:rsidR="00832B9B">
        <w:rPr>
          <w:rFonts w:ascii="Palatino Linotype" w:hAnsi="Palatino Linotype" w:cs="Arial"/>
          <w:bCs/>
          <w:sz w:val="24"/>
          <w:szCs w:val="24"/>
        </w:rPr>
        <w:t>cuenta con las capacidades</w:t>
      </w:r>
      <w:r w:rsidR="002770E2">
        <w:rPr>
          <w:rFonts w:ascii="Palatino Linotype" w:hAnsi="Palatino Linotype" w:cs="Arial"/>
          <w:bCs/>
          <w:sz w:val="24"/>
          <w:szCs w:val="24"/>
        </w:rPr>
        <w:t xml:space="preserve"> técnicas y presupuestales</w:t>
      </w:r>
      <w:r w:rsidR="0037144D">
        <w:rPr>
          <w:rFonts w:ascii="Palatino Linotype" w:hAnsi="Palatino Linotype" w:cs="Arial"/>
          <w:bCs/>
          <w:sz w:val="24"/>
          <w:szCs w:val="24"/>
        </w:rPr>
        <w:t xml:space="preserve"> necesarias</w:t>
      </w:r>
      <w:r w:rsidR="00832B9B">
        <w:rPr>
          <w:rFonts w:ascii="Palatino Linotype" w:hAnsi="Palatino Linotype" w:cs="Arial"/>
          <w:bCs/>
          <w:sz w:val="24"/>
          <w:szCs w:val="24"/>
        </w:rPr>
        <w:t xml:space="preserve"> para realizar sus funciones sin alguna</w:t>
      </w:r>
      <w:r>
        <w:rPr>
          <w:rFonts w:ascii="Palatino Linotype" w:hAnsi="Palatino Linotype" w:cs="Arial"/>
          <w:bCs/>
          <w:sz w:val="24"/>
          <w:szCs w:val="24"/>
        </w:rPr>
        <w:t xml:space="preserve"> limitante para observar </w:t>
      </w:r>
      <w:r w:rsidR="002770E2">
        <w:rPr>
          <w:rFonts w:ascii="Palatino Linotype" w:hAnsi="Palatino Linotype" w:cs="Arial"/>
          <w:bCs/>
          <w:sz w:val="24"/>
          <w:szCs w:val="24"/>
        </w:rPr>
        <w:t>l</w:t>
      </w:r>
      <w:r>
        <w:rPr>
          <w:rFonts w:ascii="Palatino Linotype" w:hAnsi="Palatino Linotype" w:cs="Arial"/>
          <w:bCs/>
          <w:sz w:val="24"/>
          <w:szCs w:val="24"/>
        </w:rPr>
        <w:t>os</w:t>
      </w:r>
      <w:r w:rsidR="002770E2">
        <w:rPr>
          <w:rFonts w:ascii="Palatino Linotype" w:hAnsi="Palatino Linotype" w:cs="Arial"/>
          <w:bCs/>
          <w:sz w:val="24"/>
          <w:szCs w:val="24"/>
        </w:rPr>
        <w:t xml:space="preserve"> principio</w:t>
      </w:r>
      <w:r>
        <w:rPr>
          <w:rFonts w:ascii="Palatino Linotype" w:hAnsi="Palatino Linotype" w:cs="Arial"/>
          <w:bCs/>
          <w:sz w:val="24"/>
          <w:szCs w:val="24"/>
        </w:rPr>
        <w:t>s</w:t>
      </w:r>
      <w:r w:rsidR="002770E2">
        <w:rPr>
          <w:rFonts w:ascii="Palatino Linotype" w:hAnsi="Palatino Linotype" w:cs="Arial"/>
          <w:bCs/>
          <w:sz w:val="24"/>
          <w:szCs w:val="24"/>
        </w:rPr>
        <w:t xml:space="preserve"> de gratuidad </w:t>
      </w:r>
      <w:r>
        <w:rPr>
          <w:rFonts w:ascii="Palatino Linotype" w:hAnsi="Palatino Linotype" w:cs="Arial"/>
          <w:bCs/>
          <w:sz w:val="24"/>
          <w:szCs w:val="24"/>
        </w:rPr>
        <w:t xml:space="preserve">y </w:t>
      </w:r>
      <w:r>
        <w:rPr>
          <w:rFonts w:ascii="Palatino Linotype" w:hAnsi="Palatino Linotype" w:cs="Arial"/>
          <w:bCs/>
          <w:i/>
          <w:sz w:val="24"/>
          <w:szCs w:val="24"/>
        </w:rPr>
        <w:t xml:space="preserve">pro </w:t>
      </w:r>
      <w:r w:rsidRPr="007317E8">
        <w:rPr>
          <w:rFonts w:ascii="Palatino Linotype" w:hAnsi="Palatino Linotype" w:cs="Arial"/>
          <w:bCs/>
          <w:i/>
          <w:sz w:val="24"/>
          <w:szCs w:val="24"/>
        </w:rPr>
        <w:t>persona</w:t>
      </w:r>
      <w:r>
        <w:rPr>
          <w:rFonts w:ascii="Palatino Linotype" w:hAnsi="Palatino Linotype" w:cs="Arial"/>
          <w:bCs/>
          <w:sz w:val="24"/>
          <w:szCs w:val="24"/>
        </w:rPr>
        <w:t xml:space="preserve"> </w:t>
      </w:r>
      <w:r w:rsidR="002770E2" w:rsidRPr="007317E8">
        <w:rPr>
          <w:rFonts w:ascii="Palatino Linotype" w:hAnsi="Palatino Linotype" w:cs="Arial"/>
          <w:bCs/>
          <w:sz w:val="24"/>
          <w:szCs w:val="24"/>
        </w:rPr>
        <w:t>previamente</w:t>
      </w:r>
      <w:r w:rsidR="002770E2">
        <w:rPr>
          <w:rFonts w:ascii="Palatino Linotype" w:hAnsi="Palatino Linotype" w:cs="Arial"/>
          <w:bCs/>
          <w:sz w:val="24"/>
          <w:szCs w:val="24"/>
        </w:rPr>
        <w:t xml:space="preserve"> estudiado</w:t>
      </w:r>
      <w:r>
        <w:rPr>
          <w:rFonts w:ascii="Palatino Linotype" w:hAnsi="Palatino Linotype" w:cs="Arial"/>
          <w:bCs/>
          <w:sz w:val="24"/>
          <w:szCs w:val="24"/>
        </w:rPr>
        <w:t>s</w:t>
      </w:r>
      <w:r w:rsidR="00832B9B">
        <w:rPr>
          <w:rFonts w:ascii="Palatino Linotype" w:hAnsi="Palatino Linotype" w:cs="Arial"/>
          <w:bCs/>
          <w:sz w:val="24"/>
          <w:szCs w:val="24"/>
        </w:rPr>
        <w:t>,</w:t>
      </w:r>
      <w:r w:rsidR="002770E2">
        <w:rPr>
          <w:rFonts w:ascii="Palatino Linotype" w:hAnsi="Palatino Linotype" w:cs="Arial"/>
          <w:bCs/>
          <w:sz w:val="24"/>
          <w:szCs w:val="24"/>
        </w:rPr>
        <w:t xml:space="preserve"> y por lo tanto entregar la información en la modalidad requerida por </w:t>
      </w:r>
      <w:r w:rsidR="00F751F9">
        <w:rPr>
          <w:rFonts w:ascii="Palatino Linotype" w:hAnsi="Palatino Linotype"/>
          <w:b/>
          <w:sz w:val="24"/>
          <w:szCs w:val="24"/>
        </w:rPr>
        <w:t>el recurrente</w:t>
      </w:r>
      <w:r w:rsidR="002770E2">
        <w:rPr>
          <w:rFonts w:ascii="Palatino Linotype" w:hAnsi="Palatino Linotype"/>
          <w:b/>
          <w:sz w:val="24"/>
          <w:szCs w:val="24"/>
        </w:rPr>
        <w:t xml:space="preserve"> </w:t>
      </w:r>
      <w:r w:rsidR="002770E2">
        <w:rPr>
          <w:rFonts w:ascii="Palatino Linotype" w:hAnsi="Palatino Linotype"/>
          <w:sz w:val="24"/>
          <w:szCs w:val="24"/>
        </w:rPr>
        <w:t xml:space="preserve">sin necesidad de que previo a la entrega de la información realice pago alguno, </w:t>
      </w:r>
      <w:r w:rsidR="002770E2" w:rsidRPr="006807C7">
        <w:rPr>
          <w:rFonts w:ascii="Palatino Linotype" w:hAnsi="Palatino Linotype" w:cs="Arial"/>
          <w:sz w:val="24"/>
          <w:szCs w:val="24"/>
        </w:rPr>
        <w:t xml:space="preserve">ya que actuar como se propone en la resolución resulta una carga desproporcionada que limita su derecho, </w:t>
      </w:r>
      <w:r w:rsidR="002770E2" w:rsidRPr="00B62D68">
        <w:rPr>
          <w:rFonts w:ascii="Palatino Linotype" w:hAnsi="Palatino Linotype" w:cs="Arial"/>
          <w:b/>
          <w:sz w:val="24"/>
          <w:szCs w:val="24"/>
        </w:rPr>
        <w:t>afecta el ejercicio de</w:t>
      </w:r>
      <w:r w:rsidR="008703EA">
        <w:rPr>
          <w:rFonts w:ascii="Palatino Linotype" w:hAnsi="Palatino Linotype" w:cs="Arial"/>
          <w:b/>
          <w:sz w:val="24"/>
          <w:szCs w:val="24"/>
        </w:rPr>
        <w:t xml:space="preserve">l derecho de acceso a la información y democratización de la </w:t>
      </w:r>
      <w:r w:rsidR="00B226B3">
        <w:rPr>
          <w:rFonts w:ascii="Palatino Linotype" w:hAnsi="Palatino Linotype" w:cs="Arial"/>
          <w:b/>
          <w:sz w:val="24"/>
          <w:szCs w:val="24"/>
        </w:rPr>
        <w:t>E</w:t>
      </w:r>
      <w:r w:rsidR="008703EA">
        <w:rPr>
          <w:rFonts w:ascii="Palatino Linotype" w:hAnsi="Palatino Linotype" w:cs="Arial"/>
          <w:b/>
          <w:sz w:val="24"/>
          <w:szCs w:val="24"/>
        </w:rPr>
        <w:t>ntidad</w:t>
      </w:r>
      <w:r w:rsidR="008703EA">
        <w:rPr>
          <w:rFonts w:ascii="Palatino Linotype" w:hAnsi="Palatino Linotype" w:cs="Arial"/>
          <w:sz w:val="24"/>
          <w:szCs w:val="24"/>
        </w:rPr>
        <w:t>,</w:t>
      </w:r>
      <w:r w:rsidR="00832B9B">
        <w:rPr>
          <w:rFonts w:ascii="Palatino Linotype" w:hAnsi="Palatino Linotype" w:cs="Arial"/>
          <w:sz w:val="24"/>
          <w:szCs w:val="24"/>
        </w:rPr>
        <w:t xml:space="preserve"> </w:t>
      </w:r>
      <w:r w:rsidR="002770E2" w:rsidRPr="006807C7">
        <w:rPr>
          <w:rFonts w:ascii="Palatino Linotype" w:hAnsi="Palatino Linotype" w:cs="Arial"/>
          <w:sz w:val="24"/>
          <w:szCs w:val="24"/>
        </w:rPr>
        <w:t>debilita</w:t>
      </w:r>
      <w:r w:rsidR="008703EA">
        <w:rPr>
          <w:rFonts w:ascii="Palatino Linotype" w:hAnsi="Palatino Linotype" w:cs="Arial"/>
          <w:sz w:val="24"/>
          <w:szCs w:val="24"/>
        </w:rPr>
        <w:t>ndo</w:t>
      </w:r>
      <w:r w:rsidR="002770E2" w:rsidRPr="006807C7">
        <w:rPr>
          <w:rFonts w:ascii="Palatino Linotype" w:hAnsi="Palatino Linotype" w:cs="Arial"/>
          <w:sz w:val="24"/>
          <w:szCs w:val="24"/>
        </w:rPr>
        <w:t xml:space="preserve"> el debate público informado que, a la larga, sólo puede contribuir al fortalecimiento de la sociedad democrática.</w:t>
      </w:r>
    </w:p>
    <w:p w:rsidR="0017117E" w:rsidRPr="00B73B30" w:rsidRDefault="0017117E" w:rsidP="0017117E">
      <w:pPr>
        <w:spacing w:after="0" w:line="360" w:lineRule="auto"/>
        <w:contextualSpacing/>
        <w:jc w:val="both"/>
        <w:rPr>
          <w:rFonts w:ascii="Palatino Linotype" w:hAnsi="Palatino Linotype"/>
          <w:sz w:val="24"/>
          <w:szCs w:val="24"/>
        </w:rPr>
      </w:pPr>
    </w:p>
    <w:p w:rsidR="00E6179D" w:rsidRDefault="00CD53CB" w:rsidP="00CD53CB">
      <w:pPr>
        <w:pStyle w:val="Ttulo1"/>
        <w:rPr>
          <w:rFonts w:eastAsia="Calibri"/>
          <w:color w:val="auto"/>
          <w:szCs w:val="24"/>
        </w:rPr>
      </w:pPr>
      <w:bookmarkStart w:id="6" w:name="_Toc535844195"/>
      <w:r>
        <w:rPr>
          <w:rFonts w:eastAsia="Calibri"/>
          <w:color w:val="auto"/>
          <w:szCs w:val="24"/>
        </w:rPr>
        <w:t>V</w:t>
      </w:r>
      <w:r w:rsidR="00E43E11">
        <w:rPr>
          <w:rFonts w:eastAsia="Calibri"/>
          <w:color w:val="auto"/>
          <w:szCs w:val="24"/>
        </w:rPr>
        <w:t>I</w:t>
      </w:r>
      <w:r>
        <w:rPr>
          <w:rFonts w:eastAsia="Calibri"/>
          <w:color w:val="auto"/>
          <w:szCs w:val="24"/>
        </w:rPr>
        <w:t xml:space="preserve">. </w:t>
      </w:r>
      <w:r w:rsidR="00E6179D" w:rsidRPr="0083488C">
        <w:rPr>
          <w:rFonts w:eastAsia="Calibri"/>
          <w:color w:val="auto"/>
          <w:szCs w:val="24"/>
        </w:rPr>
        <w:t>Conclusión.</w:t>
      </w:r>
      <w:bookmarkEnd w:id="6"/>
    </w:p>
    <w:p w:rsidR="00061791" w:rsidRPr="00061791" w:rsidRDefault="00061791" w:rsidP="00061791"/>
    <w:p w:rsidR="00E6179D" w:rsidRDefault="00E6179D" w:rsidP="00DC3467">
      <w:pPr>
        <w:numPr>
          <w:ilvl w:val="0"/>
          <w:numId w:val="1"/>
        </w:numPr>
        <w:spacing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w:t>
      </w:r>
      <w:r w:rsidR="00F751F9">
        <w:rPr>
          <w:rFonts w:ascii="Palatino Linotype" w:eastAsia="Calibri" w:hAnsi="Palatino Linotype" w:cs="Arial"/>
          <w:sz w:val="24"/>
          <w:szCs w:val="24"/>
        </w:rPr>
        <w:t>anteriormente, consideramos</w:t>
      </w:r>
      <w:r w:rsidR="007317E8">
        <w:rPr>
          <w:rFonts w:ascii="Palatino Linotype" w:eastAsia="Calibri" w:hAnsi="Palatino Linotype" w:cs="Arial"/>
          <w:sz w:val="24"/>
          <w:szCs w:val="24"/>
        </w:rPr>
        <w:t xml:space="preserve"> que es</w:t>
      </w:r>
      <w:r w:rsidR="00B85B0B">
        <w:rPr>
          <w:rFonts w:ascii="Palatino Linotype" w:eastAsia="Calibri" w:hAnsi="Palatino Linotype" w:cs="Arial"/>
          <w:sz w:val="24"/>
          <w:szCs w:val="24"/>
        </w:rPr>
        <w:t xml:space="preserve"> de suma importancia que en los casos de que el </w:t>
      </w:r>
      <w:r w:rsidR="0017117E" w:rsidRPr="0017117E">
        <w:rPr>
          <w:rFonts w:ascii="Palatino Linotype" w:eastAsia="Calibri" w:hAnsi="Palatino Linotype" w:cs="Arial"/>
          <w:b/>
          <w:sz w:val="24"/>
          <w:szCs w:val="24"/>
        </w:rPr>
        <w:t>SUJETO OBLIGADO</w:t>
      </w:r>
      <w:r w:rsidR="0017117E">
        <w:rPr>
          <w:rFonts w:ascii="Palatino Linotype" w:eastAsia="Calibri" w:hAnsi="Palatino Linotype" w:cs="Arial"/>
          <w:sz w:val="24"/>
          <w:szCs w:val="24"/>
        </w:rPr>
        <w:t xml:space="preserve"> </w:t>
      </w:r>
      <w:r w:rsidR="00B85B0B">
        <w:rPr>
          <w:rFonts w:ascii="Palatino Linotype" w:eastAsia="Calibri" w:hAnsi="Palatino Linotype" w:cs="Arial"/>
          <w:sz w:val="24"/>
          <w:szCs w:val="24"/>
        </w:rPr>
        <w:t xml:space="preserve">condicione a los particulares a realizar el pago de derechos contenido en el artículo 73 fracción VI del Código Financiero del Estado de México, realicemos un estudio y análisis profundo de la contradicción legal que genera la fracción en comento a los principios de </w:t>
      </w:r>
      <w:r w:rsidR="00B85B0B">
        <w:rPr>
          <w:rFonts w:ascii="Palatino Linotype" w:eastAsia="Calibri" w:hAnsi="Palatino Linotype" w:cs="Arial"/>
          <w:sz w:val="24"/>
          <w:szCs w:val="24"/>
        </w:rPr>
        <w:lastRenderedPageBreak/>
        <w:t>transparencia y acceso a la información pública que el Estado nos encargó procurar, velar y defender como máximos representantes de nuestro Instituto de Transparencia, Acceso a la Información Pública y Protección de Datos Personales del Estado de México y Municipios, de lo contrario, éste Órgano Garante se encontraría contribuyendo a ralentizar la necesaria evolución de nuestros entes administrativos a la era moderna de digitalización institucional.</w:t>
      </w:r>
    </w:p>
    <w:p w:rsidR="00710886" w:rsidRDefault="00710886" w:rsidP="00710886">
      <w:pPr>
        <w:spacing w:line="360" w:lineRule="auto"/>
        <w:contextualSpacing/>
        <w:jc w:val="both"/>
        <w:rPr>
          <w:rFonts w:ascii="Palatino Linotype" w:eastAsia="Calibri" w:hAnsi="Palatino Linotype" w:cs="Arial"/>
          <w:sz w:val="24"/>
          <w:szCs w:val="24"/>
        </w:rPr>
      </w:pPr>
    </w:p>
    <w:p w:rsidR="00710886" w:rsidRDefault="00710886" w:rsidP="00710886">
      <w:pPr>
        <w:spacing w:line="360" w:lineRule="auto"/>
        <w:contextualSpacing/>
        <w:jc w:val="both"/>
        <w:rPr>
          <w:rFonts w:ascii="Palatino Linotype" w:eastAsia="Calibri" w:hAnsi="Palatino Linotype" w:cs="Arial"/>
          <w:sz w:val="24"/>
          <w:szCs w:val="24"/>
        </w:rPr>
      </w:pPr>
    </w:p>
    <w:p w:rsidR="00710886" w:rsidRPr="00427B79" w:rsidRDefault="00710886" w:rsidP="00710886">
      <w:pPr>
        <w:spacing w:line="360" w:lineRule="auto"/>
        <w:contextualSpacing/>
        <w:jc w:val="both"/>
        <w:rPr>
          <w:rFonts w:ascii="Palatino Linotype" w:eastAsia="Calibri" w:hAnsi="Palatino Linotype"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10886" w:rsidTr="00710886">
        <w:tc>
          <w:tcPr>
            <w:tcW w:w="4414" w:type="dxa"/>
          </w:tcPr>
          <w:p w:rsidR="00710886" w:rsidRDefault="00710886">
            <w:pPr>
              <w:tabs>
                <w:tab w:val="center" w:pos="4419"/>
                <w:tab w:val="right" w:pos="8838"/>
              </w:tabs>
              <w:spacing w:line="360" w:lineRule="auto"/>
              <w:jc w:val="center"/>
              <w:rPr>
                <w:rFonts w:ascii="Palatino Linotype" w:eastAsia="Arial" w:hAnsi="Palatino Linotype" w:cs="Arial"/>
                <w:b/>
                <w:color w:val="000000" w:themeColor="text1"/>
                <w:sz w:val="21"/>
                <w:szCs w:val="21"/>
                <w:lang w:eastAsia="es-MX"/>
              </w:rPr>
            </w:pPr>
            <w:r>
              <w:rPr>
                <w:rFonts w:ascii="Palatino Linotype" w:eastAsia="Arial" w:hAnsi="Palatino Linotype" w:cs="Arial"/>
                <w:b/>
                <w:color w:val="000000" w:themeColor="text1"/>
                <w:sz w:val="21"/>
                <w:szCs w:val="21"/>
                <w:lang w:eastAsia="es-MX"/>
              </w:rPr>
              <w:t>JOSÉ GUADALUPE LUNA HERNÁNDEZ</w:t>
            </w:r>
          </w:p>
          <w:p w:rsidR="00710886" w:rsidRDefault="00710886">
            <w:pPr>
              <w:spacing w:line="360" w:lineRule="auto"/>
              <w:jc w:val="center"/>
              <w:rPr>
                <w:rFonts w:ascii="Palatino Linotype" w:eastAsia="Arial" w:hAnsi="Palatino Linotype" w:cs="Arial"/>
                <w:b/>
                <w:color w:val="000000" w:themeColor="text1"/>
                <w:sz w:val="21"/>
                <w:szCs w:val="21"/>
                <w:lang w:eastAsia="es-MX"/>
              </w:rPr>
            </w:pPr>
            <w:r>
              <w:rPr>
                <w:rFonts w:ascii="Palatino Linotype" w:eastAsia="Arial" w:hAnsi="Palatino Linotype" w:cs="Arial"/>
                <w:b/>
                <w:color w:val="000000" w:themeColor="text1"/>
                <w:sz w:val="21"/>
                <w:szCs w:val="21"/>
                <w:lang w:eastAsia="es-MX"/>
              </w:rPr>
              <w:t>COMISIONADO</w:t>
            </w:r>
          </w:p>
          <w:p w:rsidR="00710886" w:rsidRPr="0089666B" w:rsidRDefault="00710886">
            <w:pPr>
              <w:spacing w:line="360" w:lineRule="auto"/>
              <w:jc w:val="center"/>
              <w:rPr>
                <w:rFonts w:ascii="Palatino Linotype" w:eastAsia="Arial" w:hAnsi="Palatino Linotype" w:cs="Arial"/>
                <w:b/>
                <w:color w:val="FFFFFF" w:themeColor="background1"/>
                <w:sz w:val="21"/>
                <w:szCs w:val="21"/>
                <w:lang w:eastAsia="es-MX"/>
              </w:rPr>
            </w:pPr>
            <w:r w:rsidRPr="0089666B">
              <w:rPr>
                <w:rFonts w:ascii="Palatino Linotype" w:eastAsia="Arial" w:hAnsi="Palatino Linotype" w:cs="Arial"/>
                <w:b/>
                <w:color w:val="FFFFFF" w:themeColor="background1"/>
                <w:sz w:val="21"/>
                <w:szCs w:val="21"/>
                <w:lang w:eastAsia="es-MX"/>
              </w:rPr>
              <w:t>(RÚBRICA)</w:t>
            </w:r>
          </w:p>
          <w:p w:rsidR="00710886" w:rsidRDefault="00710886">
            <w:pPr>
              <w:tabs>
                <w:tab w:val="center" w:pos="4419"/>
                <w:tab w:val="right" w:pos="8838"/>
              </w:tabs>
              <w:spacing w:line="360" w:lineRule="auto"/>
              <w:rPr>
                <w:rFonts w:ascii="Palatino Linotype" w:eastAsia="Arial" w:hAnsi="Palatino Linotype" w:cs="Arial"/>
                <w:b/>
                <w:color w:val="000000" w:themeColor="text1"/>
                <w:sz w:val="21"/>
                <w:szCs w:val="21"/>
                <w:lang w:eastAsia="es-MX"/>
              </w:rPr>
            </w:pPr>
          </w:p>
          <w:p w:rsidR="00710886" w:rsidRDefault="00710886">
            <w:pPr>
              <w:tabs>
                <w:tab w:val="center" w:pos="4419"/>
                <w:tab w:val="right" w:pos="8838"/>
              </w:tabs>
              <w:spacing w:line="360" w:lineRule="auto"/>
              <w:rPr>
                <w:rFonts w:ascii="Palatino Linotype" w:eastAsia="Arial" w:hAnsi="Palatino Linotype" w:cs="Arial"/>
                <w:b/>
                <w:color w:val="000000" w:themeColor="text1"/>
                <w:sz w:val="21"/>
                <w:szCs w:val="21"/>
                <w:lang w:eastAsia="es-MX"/>
              </w:rPr>
            </w:pPr>
          </w:p>
          <w:p w:rsidR="00710886" w:rsidRDefault="00710886">
            <w:pPr>
              <w:tabs>
                <w:tab w:val="center" w:pos="4419"/>
                <w:tab w:val="right" w:pos="8838"/>
              </w:tabs>
              <w:spacing w:line="360" w:lineRule="auto"/>
              <w:rPr>
                <w:rFonts w:ascii="Palatino Linotype" w:eastAsia="Arial" w:hAnsi="Palatino Linotype" w:cs="Arial"/>
                <w:b/>
                <w:color w:val="000000" w:themeColor="text1"/>
                <w:sz w:val="21"/>
                <w:szCs w:val="21"/>
                <w:lang w:eastAsia="es-MX"/>
              </w:rPr>
            </w:pPr>
          </w:p>
        </w:tc>
        <w:tc>
          <w:tcPr>
            <w:tcW w:w="4414" w:type="dxa"/>
          </w:tcPr>
          <w:p w:rsidR="00710886" w:rsidRDefault="00710886">
            <w:pPr>
              <w:tabs>
                <w:tab w:val="center" w:pos="4419"/>
                <w:tab w:val="right" w:pos="8838"/>
              </w:tabs>
              <w:spacing w:line="360" w:lineRule="auto"/>
              <w:jc w:val="center"/>
              <w:rPr>
                <w:rFonts w:ascii="Palatino Linotype" w:eastAsia="Arial" w:hAnsi="Palatino Linotype" w:cs="Arial"/>
                <w:b/>
                <w:color w:val="000000" w:themeColor="text1"/>
                <w:sz w:val="21"/>
                <w:szCs w:val="21"/>
                <w:lang w:eastAsia="es-MX"/>
              </w:rPr>
            </w:pPr>
            <w:r>
              <w:rPr>
                <w:rFonts w:ascii="Palatino Linotype" w:eastAsia="Arial" w:hAnsi="Palatino Linotype" w:cs="Arial"/>
                <w:b/>
                <w:color w:val="000000" w:themeColor="text1"/>
                <w:sz w:val="21"/>
                <w:szCs w:val="21"/>
                <w:lang w:eastAsia="es-MX"/>
              </w:rPr>
              <w:t>LUIS GUSTAVO PARRA NORIEGA</w:t>
            </w:r>
          </w:p>
          <w:p w:rsidR="00710886" w:rsidRDefault="00710886">
            <w:pPr>
              <w:spacing w:line="360" w:lineRule="auto"/>
              <w:jc w:val="center"/>
              <w:rPr>
                <w:rFonts w:ascii="Palatino Linotype" w:eastAsia="Arial" w:hAnsi="Palatino Linotype" w:cs="Arial"/>
                <w:b/>
                <w:color w:val="000000" w:themeColor="text1"/>
                <w:sz w:val="21"/>
                <w:szCs w:val="21"/>
                <w:lang w:eastAsia="es-MX"/>
              </w:rPr>
            </w:pPr>
            <w:r>
              <w:rPr>
                <w:rFonts w:ascii="Palatino Linotype" w:eastAsia="Arial" w:hAnsi="Palatino Linotype" w:cs="Arial"/>
                <w:b/>
                <w:color w:val="000000" w:themeColor="text1"/>
                <w:sz w:val="21"/>
                <w:szCs w:val="21"/>
                <w:lang w:eastAsia="es-MX"/>
              </w:rPr>
              <w:t>COMISIONADO</w:t>
            </w:r>
          </w:p>
          <w:p w:rsidR="00710886" w:rsidRPr="0089666B" w:rsidRDefault="00710886">
            <w:pPr>
              <w:spacing w:line="360" w:lineRule="auto"/>
              <w:jc w:val="center"/>
              <w:rPr>
                <w:rFonts w:ascii="Palatino Linotype" w:eastAsia="Arial" w:hAnsi="Palatino Linotype" w:cs="Arial"/>
                <w:b/>
                <w:color w:val="FFFFFF" w:themeColor="background1"/>
                <w:sz w:val="21"/>
                <w:szCs w:val="21"/>
                <w:lang w:eastAsia="es-MX"/>
              </w:rPr>
            </w:pPr>
            <w:r w:rsidRPr="0089666B">
              <w:rPr>
                <w:rFonts w:ascii="Palatino Linotype" w:eastAsia="Arial" w:hAnsi="Palatino Linotype" w:cs="Arial"/>
                <w:b/>
                <w:color w:val="FFFFFF" w:themeColor="background1"/>
                <w:sz w:val="21"/>
                <w:szCs w:val="21"/>
                <w:lang w:eastAsia="es-MX"/>
              </w:rPr>
              <w:t>(RÚBRICA)</w:t>
            </w:r>
          </w:p>
          <w:p w:rsidR="00710886" w:rsidRDefault="00710886">
            <w:pPr>
              <w:spacing w:line="360" w:lineRule="auto"/>
              <w:jc w:val="center"/>
              <w:rPr>
                <w:rFonts w:ascii="Palatino Linotype" w:eastAsia="Arial" w:hAnsi="Palatino Linotype" w:cs="Arial"/>
                <w:b/>
                <w:color w:val="000000" w:themeColor="text1"/>
                <w:sz w:val="21"/>
                <w:szCs w:val="21"/>
                <w:lang w:eastAsia="es-MX"/>
              </w:rPr>
            </w:pPr>
          </w:p>
          <w:p w:rsidR="00710886" w:rsidRDefault="00710886">
            <w:pPr>
              <w:tabs>
                <w:tab w:val="center" w:pos="4419"/>
                <w:tab w:val="right" w:pos="8838"/>
              </w:tabs>
              <w:spacing w:line="360" w:lineRule="auto"/>
              <w:rPr>
                <w:rFonts w:ascii="Palatino Linotype" w:eastAsia="Arial" w:hAnsi="Palatino Linotype" w:cs="Arial"/>
                <w:b/>
                <w:color w:val="000000" w:themeColor="text1"/>
                <w:sz w:val="21"/>
                <w:szCs w:val="21"/>
                <w:lang w:eastAsia="es-MX"/>
              </w:rPr>
            </w:pPr>
          </w:p>
        </w:tc>
      </w:tr>
      <w:tr w:rsidR="00710886" w:rsidTr="00710886">
        <w:tc>
          <w:tcPr>
            <w:tcW w:w="8828" w:type="dxa"/>
            <w:gridSpan w:val="2"/>
            <w:hideMark/>
          </w:tcPr>
          <w:p w:rsidR="00710886" w:rsidRDefault="00710886">
            <w:pPr>
              <w:tabs>
                <w:tab w:val="center" w:pos="4419"/>
                <w:tab w:val="right" w:pos="8838"/>
              </w:tabs>
              <w:spacing w:line="360" w:lineRule="auto"/>
              <w:jc w:val="center"/>
              <w:rPr>
                <w:rFonts w:ascii="Palatino Linotype" w:eastAsia="Arial" w:hAnsi="Palatino Linotype" w:cs="Arial"/>
                <w:b/>
                <w:color w:val="000000" w:themeColor="text1"/>
                <w:sz w:val="21"/>
                <w:szCs w:val="21"/>
                <w:lang w:eastAsia="es-MX"/>
              </w:rPr>
            </w:pPr>
            <w:r>
              <w:rPr>
                <w:rFonts w:ascii="Palatino Linotype" w:eastAsia="Arial" w:hAnsi="Palatino Linotype" w:cs="Arial"/>
                <w:b/>
                <w:color w:val="000000" w:themeColor="text1"/>
                <w:sz w:val="21"/>
                <w:szCs w:val="21"/>
                <w:lang w:eastAsia="es-MX"/>
              </w:rPr>
              <w:t>JAVIER MARTÍNEZ CRUZ</w:t>
            </w:r>
          </w:p>
          <w:p w:rsidR="00710886" w:rsidRDefault="00710886">
            <w:pPr>
              <w:spacing w:line="360" w:lineRule="auto"/>
              <w:jc w:val="center"/>
              <w:rPr>
                <w:rFonts w:ascii="Palatino Linotype" w:eastAsia="Arial" w:hAnsi="Palatino Linotype" w:cs="Arial"/>
                <w:b/>
                <w:color w:val="000000" w:themeColor="text1"/>
                <w:sz w:val="21"/>
                <w:szCs w:val="21"/>
                <w:lang w:eastAsia="es-MX"/>
              </w:rPr>
            </w:pPr>
            <w:r>
              <w:rPr>
                <w:rFonts w:ascii="Palatino Linotype" w:eastAsia="Arial" w:hAnsi="Palatino Linotype" w:cs="Arial"/>
                <w:b/>
                <w:color w:val="000000" w:themeColor="text1"/>
                <w:sz w:val="21"/>
                <w:szCs w:val="21"/>
                <w:lang w:eastAsia="es-MX"/>
              </w:rPr>
              <w:t>COMISIONADO</w:t>
            </w:r>
          </w:p>
          <w:p w:rsidR="00710886" w:rsidRDefault="00710886">
            <w:pPr>
              <w:spacing w:line="360" w:lineRule="auto"/>
              <w:jc w:val="center"/>
              <w:rPr>
                <w:rFonts w:ascii="Palatino Linotype" w:eastAsia="Arial" w:hAnsi="Palatino Linotype" w:cs="Arial"/>
                <w:b/>
                <w:color w:val="FFFFFF" w:themeColor="background1"/>
                <w:sz w:val="21"/>
                <w:szCs w:val="21"/>
                <w:lang w:eastAsia="es-MX"/>
              </w:rPr>
            </w:pPr>
            <w:r w:rsidRPr="0089666B">
              <w:rPr>
                <w:rFonts w:ascii="Palatino Linotype" w:eastAsia="Arial" w:hAnsi="Palatino Linotype" w:cs="Arial"/>
                <w:b/>
                <w:color w:val="FFFFFF" w:themeColor="background1"/>
                <w:sz w:val="21"/>
                <w:szCs w:val="21"/>
                <w:lang w:eastAsia="es-MX"/>
              </w:rPr>
              <w:t>(RÚBRICA</w:t>
            </w:r>
            <w:r w:rsidR="0089666B" w:rsidRPr="0089666B">
              <w:rPr>
                <w:rFonts w:ascii="Palatino Linotype" w:eastAsia="Arial" w:hAnsi="Palatino Linotype" w:cs="Arial"/>
                <w:b/>
                <w:color w:val="FFFFFF" w:themeColor="background1"/>
                <w:sz w:val="21"/>
                <w:szCs w:val="21"/>
                <w:lang w:eastAsia="es-MX"/>
              </w:rPr>
              <w:t>)</w:t>
            </w:r>
          </w:p>
          <w:p w:rsidR="00184A4F" w:rsidRDefault="00184A4F">
            <w:pPr>
              <w:spacing w:line="360" w:lineRule="auto"/>
              <w:jc w:val="center"/>
              <w:rPr>
                <w:rFonts w:ascii="Palatino Linotype" w:eastAsia="Arial" w:hAnsi="Palatino Linotype" w:cs="Arial"/>
                <w:b/>
                <w:color w:val="FFFFFF" w:themeColor="background1"/>
                <w:sz w:val="21"/>
                <w:szCs w:val="21"/>
                <w:lang w:eastAsia="es-MX"/>
              </w:rPr>
            </w:pPr>
          </w:p>
          <w:p w:rsidR="00184A4F" w:rsidRDefault="00184A4F">
            <w:pPr>
              <w:spacing w:line="360" w:lineRule="auto"/>
              <w:jc w:val="center"/>
              <w:rPr>
                <w:rFonts w:ascii="Palatino Linotype" w:eastAsia="Arial" w:hAnsi="Palatino Linotype" w:cs="Arial"/>
                <w:b/>
                <w:color w:val="000000" w:themeColor="text1"/>
                <w:sz w:val="21"/>
                <w:szCs w:val="21"/>
                <w:lang w:eastAsia="es-MX"/>
              </w:rPr>
            </w:pPr>
            <w:bookmarkStart w:id="7" w:name="_GoBack"/>
            <w:bookmarkEnd w:id="7"/>
          </w:p>
        </w:tc>
      </w:tr>
    </w:tbl>
    <w:p w:rsidR="00205008" w:rsidRDefault="0020500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p>
    <w:p w:rsidR="00DC3467" w:rsidRPr="00DC3467" w:rsidRDefault="00DC3467" w:rsidP="00DC3467">
      <w:pPr>
        <w:spacing w:line="360" w:lineRule="auto"/>
        <w:jc w:val="center"/>
        <w:rPr>
          <w:rFonts w:ascii="Palatino Linotype" w:eastAsia="Arial" w:hAnsi="Palatino Linotype" w:cs="Arial"/>
          <w:b/>
          <w:color w:val="000000" w:themeColor="text1"/>
          <w:sz w:val="24"/>
          <w:szCs w:val="24"/>
          <w:lang w:eastAsia="es-MX"/>
        </w:rPr>
      </w:pPr>
    </w:p>
    <w:p w:rsidR="00DC3467" w:rsidRPr="00DC3467" w:rsidRDefault="00DC3467" w:rsidP="00DC3467">
      <w:pPr>
        <w:jc w:val="both"/>
        <w:rPr>
          <w:rFonts w:ascii="Palatino Linotype" w:hAnsi="Palatino Linotype"/>
          <w:sz w:val="18"/>
          <w:szCs w:val="18"/>
        </w:rPr>
      </w:pPr>
      <w:r w:rsidRPr="00DC3467">
        <w:rPr>
          <w:rFonts w:ascii="Palatino Linotype" w:hAnsi="Palatino Linotype"/>
          <w:sz w:val="18"/>
          <w:szCs w:val="18"/>
        </w:rPr>
        <w:t xml:space="preserve">Esta hoja corresponde al voto particular emitido en la resolución del recurso de revisión </w:t>
      </w:r>
      <w:r w:rsidR="0089666B">
        <w:rPr>
          <w:rFonts w:ascii="Palatino Linotype" w:hAnsi="Palatino Linotype"/>
          <w:b/>
          <w:sz w:val="18"/>
          <w:szCs w:val="18"/>
        </w:rPr>
        <w:t>04195</w:t>
      </w:r>
      <w:r w:rsidRPr="00DC3467">
        <w:rPr>
          <w:rFonts w:ascii="Palatino Linotype" w:hAnsi="Palatino Linotype"/>
          <w:b/>
          <w:sz w:val="18"/>
          <w:szCs w:val="18"/>
        </w:rPr>
        <w:t>/INFOEM/IP/RR/2018 y acumulados</w:t>
      </w:r>
      <w:r>
        <w:rPr>
          <w:rFonts w:ascii="Palatino Linotype" w:hAnsi="Palatino Linotype"/>
          <w:b/>
          <w:sz w:val="18"/>
          <w:szCs w:val="18"/>
        </w:rPr>
        <w:t>.</w:t>
      </w:r>
    </w:p>
    <w:sectPr w:rsidR="00DC3467" w:rsidRPr="00DC3467"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99D" w:rsidRDefault="0078399D" w:rsidP="00E82D3D">
      <w:pPr>
        <w:spacing w:after="0" w:line="240" w:lineRule="auto"/>
      </w:pPr>
      <w:r>
        <w:separator/>
      </w:r>
    </w:p>
  </w:endnote>
  <w:endnote w:type="continuationSeparator" w:id="0">
    <w:p w:rsidR="0078399D" w:rsidRDefault="0078399D"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84A4F">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84A4F">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99D" w:rsidRDefault="0078399D" w:rsidP="00E82D3D">
      <w:pPr>
        <w:spacing w:after="0" w:line="240" w:lineRule="auto"/>
      </w:pPr>
      <w:r>
        <w:separator/>
      </w:r>
    </w:p>
  </w:footnote>
  <w:footnote w:type="continuationSeparator" w:id="0">
    <w:p w:rsidR="0078399D" w:rsidRDefault="0078399D"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839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839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8399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2B8E2722"/>
    <w:multiLevelType w:val="hybridMultilevel"/>
    <w:tmpl w:val="DC228A92"/>
    <w:lvl w:ilvl="0" w:tplc="941691AE">
      <w:start w:val="1"/>
      <w:numFmt w:val="decimal"/>
      <w:lvlText w:val="%1."/>
      <w:lvlJc w:val="left"/>
      <w:pPr>
        <w:ind w:left="720" w:hanging="360"/>
      </w:pPr>
      <w:rPr>
        <w:rFonts w:eastAsia="Times New Roman"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0EB1281"/>
    <w:multiLevelType w:val="hybridMultilevel"/>
    <w:tmpl w:val="112C4226"/>
    <w:lvl w:ilvl="0" w:tplc="0C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
    <w:nsid w:val="577202FA"/>
    <w:multiLevelType w:val="hybridMultilevel"/>
    <w:tmpl w:val="868E6186"/>
    <w:lvl w:ilvl="0" w:tplc="D53E3126">
      <w:start w:val="1"/>
      <w:numFmt w:val="decimal"/>
      <w:lvlText w:val="%1."/>
      <w:lvlJc w:val="left"/>
      <w:pPr>
        <w:ind w:left="360" w:hanging="360"/>
      </w:pPr>
      <w:rPr>
        <w:rFonts w:hAnsi="Arial Unicode MS" w:hint="default"/>
        <w:b/>
        <w:i w:val="0"/>
        <w:caps w:val="0"/>
        <w:smallCaps w:val="0"/>
        <w:strike w:val="0"/>
        <w:dstrike w:val="0"/>
        <w:color w:val="000000"/>
        <w:spacing w:val="0"/>
        <w:w w:val="100"/>
        <w:kern w:val="0"/>
        <w:position w:val="0"/>
        <w:sz w:val="24"/>
        <w:szCs w:val="24"/>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B832D0">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0"/>
  </w:num>
  <w:num w:numId="6">
    <w:abstractNumId w:val="1"/>
  </w:num>
  <w:num w:numId="7">
    <w:abstractNumId w:val="3"/>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33837"/>
    <w:rsid w:val="0003648B"/>
    <w:rsid w:val="00047D47"/>
    <w:rsid w:val="00051010"/>
    <w:rsid w:val="00053C8B"/>
    <w:rsid w:val="00061791"/>
    <w:rsid w:val="00064C7C"/>
    <w:rsid w:val="00064D12"/>
    <w:rsid w:val="00080138"/>
    <w:rsid w:val="00083196"/>
    <w:rsid w:val="0009506C"/>
    <w:rsid w:val="000957D0"/>
    <w:rsid w:val="00096CC2"/>
    <w:rsid w:val="000A17C5"/>
    <w:rsid w:val="000A51DA"/>
    <w:rsid w:val="000B09D7"/>
    <w:rsid w:val="000C780A"/>
    <w:rsid w:val="000D1DDF"/>
    <w:rsid w:val="000D6B20"/>
    <w:rsid w:val="000E1ACA"/>
    <w:rsid w:val="000F6EC0"/>
    <w:rsid w:val="00102360"/>
    <w:rsid w:val="00113C80"/>
    <w:rsid w:val="00113E8A"/>
    <w:rsid w:val="001240A5"/>
    <w:rsid w:val="00143E4A"/>
    <w:rsid w:val="00151D53"/>
    <w:rsid w:val="001553F5"/>
    <w:rsid w:val="0016014E"/>
    <w:rsid w:val="001604B4"/>
    <w:rsid w:val="0017117E"/>
    <w:rsid w:val="001725DC"/>
    <w:rsid w:val="001833A7"/>
    <w:rsid w:val="0018421D"/>
    <w:rsid w:val="00184A4F"/>
    <w:rsid w:val="001A7D89"/>
    <w:rsid w:val="001B19B4"/>
    <w:rsid w:val="001C23BB"/>
    <w:rsid w:val="001C3DD0"/>
    <w:rsid w:val="001C6366"/>
    <w:rsid w:val="001C66F8"/>
    <w:rsid w:val="001E5635"/>
    <w:rsid w:val="001F0E58"/>
    <w:rsid w:val="00205008"/>
    <w:rsid w:val="00224B9E"/>
    <w:rsid w:val="00241D8A"/>
    <w:rsid w:val="00252BB6"/>
    <w:rsid w:val="002643E6"/>
    <w:rsid w:val="00270126"/>
    <w:rsid w:val="00273862"/>
    <w:rsid w:val="002770E2"/>
    <w:rsid w:val="002937C6"/>
    <w:rsid w:val="002A3111"/>
    <w:rsid w:val="002B1FE5"/>
    <w:rsid w:val="002B30C5"/>
    <w:rsid w:val="002C4ACE"/>
    <w:rsid w:val="002D4033"/>
    <w:rsid w:val="002E3ED2"/>
    <w:rsid w:val="002F0EF9"/>
    <w:rsid w:val="002F79FF"/>
    <w:rsid w:val="00305CE0"/>
    <w:rsid w:val="00315772"/>
    <w:rsid w:val="003258B6"/>
    <w:rsid w:val="0032670C"/>
    <w:rsid w:val="0037144D"/>
    <w:rsid w:val="00384DBA"/>
    <w:rsid w:val="003855C9"/>
    <w:rsid w:val="003A0E53"/>
    <w:rsid w:val="003A31EF"/>
    <w:rsid w:val="003C37C6"/>
    <w:rsid w:val="003C7F8A"/>
    <w:rsid w:val="003E0648"/>
    <w:rsid w:val="003E1591"/>
    <w:rsid w:val="00410B42"/>
    <w:rsid w:val="00427B79"/>
    <w:rsid w:val="0045613E"/>
    <w:rsid w:val="0046231E"/>
    <w:rsid w:val="004633B7"/>
    <w:rsid w:val="00470840"/>
    <w:rsid w:val="004733AF"/>
    <w:rsid w:val="0048628E"/>
    <w:rsid w:val="004A5F86"/>
    <w:rsid w:val="004D1869"/>
    <w:rsid w:val="004F3ABB"/>
    <w:rsid w:val="004F4DA5"/>
    <w:rsid w:val="00522308"/>
    <w:rsid w:val="0052306C"/>
    <w:rsid w:val="005556CA"/>
    <w:rsid w:val="005650D9"/>
    <w:rsid w:val="00567957"/>
    <w:rsid w:val="00594E5C"/>
    <w:rsid w:val="005F30BC"/>
    <w:rsid w:val="0061188C"/>
    <w:rsid w:val="00617ACF"/>
    <w:rsid w:val="006319DC"/>
    <w:rsid w:val="00680533"/>
    <w:rsid w:val="006A0BDD"/>
    <w:rsid w:val="006B39ED"/>
    <w:rsid w:val="006B7892"/>
    <w:rsid w:val="006F0A01"/>
    <w:rsid w:val="00710886"/>
    <w:rsid w:val="00720C60"/>
    <w:rsid w:val="00730193"/>
    <w:rsid w:val="007317E8"/>
    <w:rsid w:val="00740A46"/>
    <w:rsid w:val="00740DA3"/>
    <w:rsid w:val="00744BA1"/>
    <w:rsid w:val="00745EF9"/>
    <w:rsid w:val="0078399D"/>
    <w:rsid w:val="00797A31"/>
    <w:rsid w:val="007A1EB0"/>
    <w:rsid w:val="007B2DD9"/>
    <w:rsid w:val="007D037D"/>
    <w:rsid w:val="007D03AB"/>
    <w:rsid w:val="007E48FF"/>
    <w:rsid w:val="00804A5D"/>
    <w:rsid w:val="00806194"/>
    <w:rsid w:val="008076C1"/>
    <w:rsid w:val="00807E40"/>
    <w:rsid w:val="008216B4"/>
    <w:rsid w:val="00832B9B"/>
    <w:rsid w:val="0083488C"/>
    <w:rsid w:val="00835C8D"/>
    <w:rsid w:val="00843E5B"/>
    <w:rsid w:val="008703EA"/>
    <w:rsid w:val="008747CB"/>
    <w:rsid w:val="008862D6"/>
    <w:rsid w:val="00894E97"/>
    <w:rsid w:val="0089666B"/>
    <w:rsid w:val="008A11E3"/>
    <w:rsid w:val="008B30D3"/>
    <w:rsid w:val="008D08BE"/>
    <w:rsid w:val="008D4328"/>
    <w:rsid w:val="008E733E"/>
    <w:rsid w:val="008F2800"/>
    <w:rsid w:val="0090262D"/>
    <w:rsid w:val="00910ACA"/>
    <w:rsid w:val="009143F1"/>
    <w:rsid w:val="00922197"/>
    <w:rsid w:val="00926F65"/>
    <w:rsid w:val="00942FBF"/>
    <w:rsid w:val="0098539C"/>
    <w:rsid w:val="00987C08"/>
    <w:rsid w:val="009A0D68"/>
    <w:rsid w:val="009A2D39"/>
    <w:rsid w:val="009A33F0"/>
    <w:rsid w:val="009B3A5C"/>
    <w:rsid w:val="009C7267"/>
    <w:rsid w:val="009C72FE"/>
    <w:rsid w:val="009D3396"/>
    <w:rsid w:val="009D3902"/>
    <w:rsid w:val="009F4960"/>
    <w:rsid w:val="009F6B96"/>
    <w:rsid w:val="009F7B67"/>
    <w:rsid w:val="00A22908"/>
    <w:rsid w:val="00A23B00"/>
    <w:rsid w:val="00A276D9"/>
    <w:rsid w:val="00A37A86"/>
    <w:rsid w:val="00A60C7E"/>
    <w:rsid w:val="00A82E8C"/>
    <w:rsid w:val="00A84374"/>
    <w:rsid w:val="00AA0FB7"/>
    <w:rsid w:val="00B16CE1"/>
    <w:rsid w:val="00B2190C"/>
    <w:rsid w:val="00B226B3"/>
    <w:rsid w:val="00B32C98"/>
    <w:rsid w:val="00B3675E"/>
    <w:rsid w:val="00B41044"/>
    <w:rsid w:val="00B516DB"/>
    <w:rsid w:val="00B62D68"/>
    <w:rsid w:val="00B73B30"/>
    <w:rsid w:val="00B83FC5"/>
    <w:rsid w:val="00B847EF"/>
    <w:rsid w:val="00B85B0B"/>
    <w:rsid w:val="00B9285A"/>
    <w:rsid w:val="00BA67DA"/>
    <w:rsid w:val="00BA773B"/>
    <w:rsid w:val="00BB4414"/>
    <w:rsid w:val="00BB488C"/>
    <w:rsid w:val="00BB48A7"/>
    <w:rsid w:val="00BC4EB6"/>
    <w:rsid w:val="00C130B3"/>
    <w:rsid w:val="00C43E73"/>
    <w:rsid w:val="00C4764C"/>
    <w:rsid w:val="00C544E1"/>
    <w:rsid w:val="00C547F0"/>
    <w:rsid w:val="00C602B8"/>
    <w:rsid w:val="00C6233A"/>
    <w:rsid w:val="00C753D8"/>
    <w:rsid w:val="00C878B6"/>
    <w:rsid w:val="00CA2B8E"/>
    <w:rsid w:val="00CA3D02"/>
    <w:rsid w:val="00CB2472"/>
    <w:rsid w:val="00CC3ACF"/>
    <w:rsid w:val="00CC7CC1"/>
    <w:rsid w:val="00CD53CB"/>
    <w:rsid w:val="00CF0462"/>
    <w:rsid w:val="00CF1560"/>
    <w:rsid w:val="00D0055C"/>
    <w:rsid w:val="00D05844"/>
    <w:rsid w:val="00D152FB"/>
    <w:rsid w:val="00D207EA"/>
    <w:rsid w:val="00D35B4C"/>
    <w:rsid w:val="00D51491"/>
    <w:rsid w:val="00D7428E"/>
    <w:rsid w:val="00D92BA5"/>
    <w:rsid w:val="00DB39B5"/>
    <w:rsid w:val="00DB53B7"/>
    <w:rsid w:val="00DC3467"/>
    <w:rsid w:val="00DC4358"/>
    <w:rsid w:val="00DD14BB"/>
    <w:rsid w:val="00DE60FA"/>
    <w:rsid w:val="00DE7A32"/>
    <w:rsid w:val="00DF782C"/>
    <w:rsid w:val="00E04ADD"/>
    <w:rsid w:val="00E27A90"/>
    <w:rsid w:val="00E43E11"/>
    <w:rsid w:val="00E535E4"/>
    <w:rsid w:val="00E61519"/>
    <w:rsid w:val="00E6179D"/>
    <w:rsid w:val="00E70B64"/>
    <w:rsid w:val="00E82D3D"/>
    <w:rsid w:val="00E858D1"/>
    <w:rsid w:val="00E93266"/>
    <w:rsid w:val="00E97A4D"/>
    <w:rsid w:val="00EA7D41"/>
    <w:rsid w:val="00EB7AAD"/>
    <w:rsid w:val="00EC6B7E"/>
    <w:rsid w:val="00ED2936"/>
    <w:rsid w:val="00EF0E60"/>
    <w:rsid w:val="00F01271"/>
    <w:rsid w:val="00F066CD"/>
    <w:rsid w:val="00F1169F"/>
    <w:rsid w:val="00F1403B"/>
    <w:rsid w:val="00F26CE5"/>
    <w:rsid w:val="00F30EE8"/>
    <w:rsid w:val="00F41722"/>
    <w:rsid w:val="00F45572"/>
    <w:rsid w:val="00F457E6"/>
    <w:rsid w:val="00F72355"/>
    <w:rsid w:val="00F751F9"/>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A024A9D-37B1-4DCC-BC29-7C405D94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customStyle="1" w:styleId="Tablanormal11">
    <w:name w:val="Tabla normal 1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 w:id="207114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A39F9-6AEE-4712-B848-5D633A6D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5876</Words>
  <Characters>32319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2019-01-22T00:47:00Z</cp:lastPrinted>
  <dcterms:created xsi:type="dcterms:W3CDTF">2019-01-21T20:13:00Z</dcterms:created>
  <dcterms:modified xsi:type="dcterms:W3CDTF">2019-01-22T01:01:00Z</dcterms:modified>
</cp:coreProperties>
</file>